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 - Definitioner"/>
      </w:tblPr>
      <w:tblGrid>
        <w:gridCol w:w="7655"/>
      </w:tblGrid>
      <w:tr w:rsidR="00970E7C" w14:paraId="370C6483" w14:textId="77777777" w:rsidTr="00B25B44">
        <w:trPr>
          <w:trHeight w:val="3147"/>
          <w:tblHeader/>
        </w:trPr>
        <w:tc>
          <w:tcPr>
            <w:tcW w:w="7655" w:type="dxa"/>
            <w:noWrap/>
            <w:vAlign w:val="bottom"/>
          </w:tcPr>
          <w:bookmarkStart w:id="0" w:name="Titel" w:displacedByCustomXml="next"/>
          <w:sdt>
            <w:sdtPr>
              <w:rPr>
                <w:rFonts w:cs="Arial"/>
                <w:sz w:val="44"/>
                <w:szCs w:val="44"/>
              </w:rPr>
              <w:alias w:val="Titel"/>
              <w:tag w:val="Titel"/>
              <w:id w:val="363105654"/>
              <w:placeholder>
                <w:docPart w:val="AC12106983BA4042927F2EDCC417C6C9"/>
              </w:placeholder>
              <w:text w:multiLine="1"/>
            </w:sdtPr>
            <w:sdtEndPr/>
            <w:sdtContent>
              <w:p w14:paraId="74306919" w14:textId="02709E5E" w:rsidR="00970E7C" w:rsidRPr="00532269" w:rsidRDefault="00B573B0" w:rsidP="00856233">
                <w:pPr>
                  <w:keepNext/>
                  <w:spacing w:after="240" w:line="240" w:lineRule="auto"/>
                  <w:jc w:val="left"/>
                  <w:rPr>
                    <w:rFonts w:cs="Arial"/>
                    <w:sz w:val="44"/>
                    <w:szCs w:val="44"/>
                  </w:rPr>
                </w:pPr>
                <w:r>
                  <w:rPr>
                    <w:rFonts w:cs="Arial"/>
                    <w:sz w:val="44"/>
                    <w:szCs w:val="44"/>
                  </w:rPr>
                  <w:t>Bilag 1 - Definitioner</w:t>
                </w:r>
              </w:p>
            </w:sdtContent>
          </w:sdt>
          <w:bookmarkEnd w:id="0"/>
          <w:p w14:paraId="003CC98A" w14:textId="395F9CA3" w:rsidR="00970E7C" w:rsidRDefault="00970E7C" w:rsidP="00856233"/>
        </w:tc>
      </w:tr>
      <w:tr w:rsidR="007C4218" w14:paraId="344BC9B4" w14:textId="77777777" w:rsidTr="00B25B44">
        <w:trPr>
          <w:trHeight w:val="3147"/>
        </w:trPr>
        <w:tc>
          <w:tcPr>
            <w:tcW w:w="7655" w:type="dxa"/>
            <w:noWrap/>
            <w:vAlign w:val="bottom"/>
          </w:tcPr>
          <w:p w14:paraId="199CED64" w14:textId="77777777" w:rsidR="007C4218" w:rsidRDefault="007C4218" w:rsidP="00856233">
            <w:pPr>
              <w:keepNext/>
              <w:spacing w:after="240" w:line="240" w:lineRule="auto"/>
              <w:jc w:val="left"/>
              <w:rPr>
                <w:rFonts w:cs="Arial"/>
                <w:sz w:val="56"/>
                <w:szCs w:val="32"/>
              </w:rPr>
            </w:pPr>
          </w:p>
        </w:tc>
      </w:tr>
    </w:tbl>
    <w:p w14:paraId="7178C3F7" w14:textId="77777777" w:rsidR="00970E7C" w:rsidRPr="00970E7C" w:rsidRDefault="00970E7C">
      <w:pPr>
        <w:rPr>
          <w:lang w:val="en-GB"/>
        </w:rPr>
      </w:pPr>
    </w:p>
    <w:p w14:paraId="4102C2CE" w14:textId="096624BC" w:rsidR="00816259" w:rsidRDefault="00816259" w:rsidP="00DD15AD">
      <w:pPr>
        <w:rPr>
          <w:lang w:val="en-GB"/>
        </w:rPr>
      </w:pPr>
      <w:r w:rsidRPr="00970E7C">
        <w:rPr>
          <w:lang w:val="en-GB"/>
        </w:rPr>
        <w:br w:type="page"/>
      </w:r>
    </w:p>
    <w:tbl>
      <w:tblPr>
        <w:tblStyle w:val="Tabel-Gitter"/>
        <w:tblW w:w="0" w:type="auto"/>
        <w:tblLayout w:type="fixed"/>
        <w:tblLook w:val="04A0" w:firstRow="1" w:lastRow="0" w:firstColumn="1" w:lastColumn="0" w:noHBand="0" w:noVBand="1"/>
        <w:tblCaption w:val="Definition på begreber"/>
      </w:tblPr>
      <w:tblGrid>
        <w:gridCol w:w="2689"/>
        <w:gridCol w:w="6633"/>
      </w:tblGrid>
      <w:tr w:rsidR="001B7EB0" w:rsidRPr="00217545" w14:paraId="441CA035" w14:textId="77777777" w:rsidTr="0083251D">
        <w:trPr>
          <w:cantSplit/>
          <w:tblHeader/>
        </w:trPr>
        <w:tc>
          <w:tcPr>
            <w:tcW w:w="2689" w:type="dxa"/>
            <w:tcBorders>
              <w:top w:val="single" w:sz="4" w:space="0" w:color="auto"/>
              <w:left w:val="single" w:sz="4" w:space="0" w:color="auto"/>
              <w:bottom w:val="single" w:sz="4" w:space="0" w:color="auto"/>
              <w:right w:val="single" w:sz="4" w:space="0" w:color="auto"/>
            </w:tcBorders>
            <w:shd w:val="clear" w:color="auto" w:fill="B8AFA6"/>
            <w:hideMark/>
          </w:tcPr>
          <w:p w14:paraId="4B77949A" w14:textId="77777777" w:rsidR="001B7EB0" w:rsidRPr="00217545" w:rsidRDefault="001B7EB0" w:rsidP="00217545">
            <w:pPr>
              <w:rPr>
                <w:b/>
              </w:rPr>
            </w:pPr>
            <w:bookmarkStart w:id="1" w:name="_GoBack"/>
            <w:r w:rsidRPr="00217545">
              <w:rPr>
                <w:b/>
              </w:rPr>
              <w:lastRenderedPageBreak/>
              <w:t>Begreb</w:t>
            </w:r>
          </w:p>
        </w:tc>
        <w:tc>
          <w:tcPr>
            <w:tcW w:w="6633" w:type="dxa"/>
            <w:tcBorders>
              <w:top w:val="single" w:sz="4" w:space="0" w:color="auto"/>
              <w:left w:val="single" w:sz="4" w:space="0" w:color="auto"/>
              <w:bottom w:val="single" w:sz="4" w:space="0" w:color="auto"/>
              <w:right w:val="single" w:sz="4" w:space="0" w:color="auto"/>
            </w:tcBorders>
            <w:shd w:val="clear" w:color="auto" w:fill="B8AFA6"/>
            <w:hideMark/>
          </w:tcPr>
          <w:p w14:paraId="458CC2DE" w14:textId="77777777" w:rsidR="001B7EB0" w:rsidRPr="00217545" w:rsidRDefault="001B7EB0" w:rsidP="00217545">
            <w:pPr>
              <w:rPr>
                <w:b/>
              </w:rPr>
            </w:pPr>
            <w:r w:rsidRPr="00217545">
              <w:rPr>
                <w:b/>
              </w:rPr>
              <w:t>Definition</w:t>
            </w:r>
          </w:p>
        </w:tc>
      </w:tr>
      <w:bookmarkEnd w:id="1"/>
      <w:tr w:rsidR="00A64B65" w14:paraId="734EE433"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7957FE69" w14:textId="5419D301" w:rsidR="00A64B65" w:rsidRPr="0083251D" w:rsidRDefault="00A64B65" w:rsidP="00217545">
            <w:r w:rsidRPr="0083251D">
              <w:t>Admini</w:t>
            </w:r>
            <w:r w:rsidR="00EB23EA" w:rsidRPr="0083251D">
              <w:t>strator</w:t>
            </w:r>
          </w:p>
        </w:tc>
        <w:tc>
          <w:tcPr>
            <w:tcW w:w="6633" w:type="dxa"/>
            <w:tcBorders>
              <w:top w:val="single" w:sz="4" w:space="0" w:color="auto"/>
              <w:left w:val="single" w:sz="4" w:space="0" w:color="auto"/>
              <w:bottom w:val="single" w:sz="4" w:space="0" w:color="auto"/>
              <w:right w:val="single" w:sz="4" w:space="0" w:color="auto"/>
            </w:tcBorders>
          </w:tcPr>
          <w:p w14:paraId="3FC7E953" w14:textId="70F6D911" w:rsidR="00A64B65" w:rsidRDefault="00A64B65" w:rsidP="00217545">
            <w:pPr>
              <w:rPr>
                <w:szCs w:val="22"/>
              </w:rPr>
            </w:pPr>
            <w:r>
              <w:rPr>
                <w:szCs w:val="22"/>
              </w:rPr>
              <w:t>Ved Administrat</w:t>
            </w:r>
            <w:r w:rsidR="00EB23EA">
              <w:rPr>
                <w:szCs w:val="22"/>
              </w:rPr>
              <w:t>or</w:t>
            </w:r>
            <w:r w:rsidR="003D48FD">
              <w:rPr>
                <w:szCs w:val="22"/>
              </w:rPr>
              <w:t xml:space="preserve"> </w:t>
            </w:r>
            <w:r>
              <w:rPr>
                <w:szCs w:val="22"/>
              </w:rPr>
              <w:t xml:space="preserve">forstås </w:t>
            </w:r>
            <w:r w:rsidR="00E0696B">
              <w:rPr>
                <w:szCs w:val="22"/>
              </w:rPr>
              <w:t xml:space="preserve">en </w:t>
            </w:r>
            <w:r w:rsidR="001E343A">
              <w:rPr>
                <w:szCs w:val="23"/>
              </w:rPr>
              <w:t>B</w:t>
            </w:r>
            <w:r>
              <w:rPr>
                <w:szCs w:val="23"/>
              </w:rPr>
              <w:t xml:space="preserve">ruger af </w:t>
            </w:r>
            <w:r w:rsidR="00E0696B">
              <w:rPr>
                <w:szCs w:val="23"/>
              </w:rPr>
              <w:t>Systemet</w:t>
            </w:r>
            <w:r w:rsidR="00FC16FF">
              <w:rPr>
                <w:szCs w:val="23"/>
              </w:rPr>
              <w:t>,</w:t>
            </w:r>
            <w:r>
              <w:rPr>
                <w:szCs w:val="23"/>
              </w:rPr>
              <w:t xml:space="preserve"> som har privilegerede rettigheder. </w:t>
            </w:r>
            <w:r w:rsidR="00E0696B">
              <w:rPr>
                <w:szCs w:val="23"/>
              </w:rPr>
              <w:t xml:space="preserve">En </w:t>
            </w:r>
            <w:r>
              <w:rPr>
                <w:szCs w:val="23"/>
              </w:rPr>
              <w:t>Administrat</w:t>
            </w:r>
            <w:r w:rsidR="00EB23EA">
              <w:rPr>
                <w:szCs w:val="23"/>
              </w:rPr>
              <w:t>or</w:t>
            </w:r>
            <w:r>
              <w:rPr>
                <w:szCs w:val="23"/>
              </w:rPr>
              <w:t xml:space="preserve"> kan </w:t>
            </w:r>
            <w:r w:rsidR="00EB23EA">
              <w:rPr>
                <w:szCs w:val="23"/>
              </w:rPr>
              <w:t>eksempelvis</w:t>
            </w:r>
            <w:r>
              <w:rPr>
                <w:szCs w:val="23"/>
              </w:rPr>
              <w:t xml:space="preserve"> oprette og slette </w:t>
            </w:r>
            <w:r w:rsidR="00521447">
              <w:rPr>
                <w:szCs w:val="23"/>
              </w:rPr>
              <w:t>B</w:t>
            </w:r>
            <w:r>
              <w:rPr>
                <w:szCs w:val="23"/>
              </w:rPr>
              <w:t>rugere</w:t>
            </w:r>
            <w:r w:rsidR="001E343A">
              <w:rPr>
                <w:szCs w:val="23"/>
              </w:rPr>
              <w:t>,</w:t>
            </w:r>
            <w:r>
              <w:rPr>
                <w:szCs w:val="23"/>
              </w:rPr>
              <w:t xml:space="preserve"> tildele roller og rettigheder (brugeradministration) samt slette/ændre i sager.</w:t>
            </w:r>
          </w:p>
        </w:tc>
      </w:tr>
      <w:tr w:rsidR="00F6179B" w14:paraId="566097AF"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29D7A8B6" w14:textId="258FB337" w:rsidR="00F6179B" w:rsidRPr="0083251D" w:rsidRDefault="00F6179B" w:rsidP="00217545">
            <w:r w:rsidRPr="0083251D">
              <w:t xml:space="preserve">Afgivende </w:t>
            </w:r>
            <w:r w:rsidR="00B81671" w:rsidRPr="0083251D">
              <w:t>L</w:t>
            </w:r>
            <w:r w:rsidRPr="0083251D">
              <w:t>everandør</w:t>
            </w:r>
          </w:p>
        </w:tc>
        <w:tc>
          <w:tcPr>
            <w:tcW w:w="6633" w:type="dxa"/>
            <w:tcBorders>
              <w:top w:val="single" w:sz="4" w:space="0" w:color="auto"/>
              <w:left w:val="single" w:sz="4" w:space="0" w:color="auto"/>
              <w:bottom w:val="single" w:sz="4" w:space="0" w:color="auto"/>
              <w:right w:val="single" w:sz="4" w:space="0" w:color="auto"/>
            </w:tcBorders>
          </w:tcPr>
          <w:p w14:paraId="517025A2" w14:textId="7989C920" w:rsidR="00F6179B" w:rsidRDefault="00F6179B" w:rsidP="00217545">
            <w:pPr>
              <w:rPr>
                <w:szCs w:val="22"/>
              </w:rPr>
            </w:pPr>
            <w:r>
              <w:rPr>
                <w:szCs w:val="22"/>
              </w:rPr>
              <w:t xml:space="preserve">Ved Afgivende </w:t>
            </w:r>
            <w:r w:rsidR="00B81671">
              <w:rPr>
                <w:szCs w:val="22"/>
              </w:rPr>
              <w:t>L</w:t>
            </w:r>
            <w:r>
              <w:rPr>
                <w:szCs w:val="22"/>
              </w:rPr>
              <w:t>everandør forstås den leverandør, som Leverandøren skal overtage ansvaret for levering af Ydelserne fra.</w:t>
            </w:r>
          </w:p>
        </w:tc>
      </w:tr>
      <w:tr w:rsidR="004C0E6E" w14:paraId="0E140950"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2A443481" w14:textId="46751D61" w:rsidR="004C0E6E" w:rsidRPr="0083251D" w:rsidRDefault="004C0E6E" w:rsidP="00217545">
            <w:r w:rsidRPr="0083251D">
              <w:t xml:space="preserve">Aftalt </w:t>
            </w:r>
            <w:r w:rsidR="00375B91" w:rsidRPr="0083251D">
              <w:t>A</w:t>
            </w:r>
            <w:r w:rsidRPr="0083251D">
              <w:t>rbejdstid</w:t>
            </w:r>
          </w:p>
        </w:tc>
        <w:tc>
          <w:tcPr>
            <w:tcW w:w="6633" w:type="dxa"/>
            <w:tcBorders>
              <w:top w:val="single" w:sz="4" w:space="0" w:color="auto"/>
              <w:left w:val="single" w:sz="4" w:space="0" w:color="auto"/>
              <w:bottom w:val="single" w:sz="4" w:space="0" w:color="auto"/>
              <w:right w:val="single" w:sz="4" w:space="0" w:color="auto"/>
            </w:tcBorders>
          </w:tcPr>
          <w:p w14:paraId="159EF46F" w14:textId="40B78A67" w:rsidR="004C0E6E" w:rsidRDefault="004C0E6E" w:rsidP="00217545">
            <w:pPr>
              <w:rPr>
                <w:szCs w:val="22"/>
              </w:rPr>
            </w:pPr>
            <w:r>
              <w:rPr>
                <w:szCs w:val="22"/>
              </w:rPr>
              <w:t xml:space="preserve">Ved Aftalt </w:t>
            </w:r>
            <w:r w:rsidR="004838FB">
              <w:rPr>
                <w:szCs w:val="22"/>
              </w:rPr>
              <w:t>A</w:t>
            </w:r>
            <w:r>
              <w:rPr>
                <w:szCs w:val="22"/>
              </w:rPr>
              <w:t xml:space="preserve">rbejdstid forstås kl. 09.00 til 17.00 lokal dansk tid </w:t>
            </w:r>
            <w:r w:rsidR="007A7792">
              <w:rPr>
                <w:szCs w:val="22"/>
              </w:rPr>
              <w:t xml:space="preserve">på alle Arbejdsdage. </w:t>
            </w:r>
          </w:p>
        </w:tc>
      </w:tr>
      <w:tr w:rsidR="007C4218" w14:paraId="5750C80E"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3CAAFA8B" w14:textId="0BC64E17" w:rsidR="007C4218" w:rsidRPr="0083251D" w:rsidRDefault="007C4218" w:rsidP="00217545">
            <w:r w:rsidRPr="0083251D">
              <w:t>Aftalt Driftstid</w:t>
            </w:r>
          </w:p>
        </w:tc>
        <w:tc>
          <w:tcPr>
            <w:tcW w:w="6633" w:type="dxa"/>
            <w:tcBorders>
              <w:top w:val="single" w:sz="4" w:space="0" w:color="auto"/>
              <w:left w:val="single" w:sz="4" w:space="0" w:color="auto"/>
              <w:bottom w:val="single" w:sz="4" w:space="0" w:color="auto"/>
              <w:right w:val="single" w:sz="4" w:space="0" w:color="auto"/>
            </w:tcBorders>
          </w:tcPr>
          <w:p w14:paraId="065A7540" w14:textId="064C5C53" w:rsidR="007C4218" w:rsidRDefault="007C4218" w:rsidP="00217545">
            <w:pPr>
              <w:rPr>
                <w:szCs w:val="22"/>
              </w:rPr>
            </w:pPr>
            <w:r>
              <w:rPr>
                <w:szCs w:val="22"/>
              </w:rPr>
              <w:t xml:space="preserve">Ved Aftalt Driftstid forstås </w:t>
            </w:r>
            <w:r w:rsidR="00D9324D">
              <w:rPr>
                <w:szCs w:val="22"/>
              </w:rPr>
              <w:t>24 timer i døgnet alle Dage</w:t>
            </w:r>
            <w:r w:rsidR="00952A3C">
              <w:rPr>
                <w:szCs w:val="22"/>
              </w:rPr>
              <w:t xml:space="preserve"> hele året</w:t>
            </w:r>
            <w:r w:rsidR="00D9324D">
              <w:rPr>
                <w:szCs w:val="22"/>
              </w:rPr>
              <w:t xml:space="preserve">. </w:t>
            </w:r>
          </w:p>
        </w:tc>
      </w:tr>
      <w:tr w:rsidR="001B7EB0" w14:paraId="609922ED"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193AD7C4" w14:textId="1548054D" w:rsidR="001B7EB0" w:rsidRPr="0083251D" w:rsidRDefault="001B7EB0" w:rsidP="00217545">
            <w:r w:rsidRPr="0083251D">
              <w:t>Applikation</w:t>
            </w:r>
            <w:r w:rsidR="00710A2A" w:rsidRPr="0083251D">
              <w:t>en</w:t>
            </w:r>
          </w:p>
        </w:tc>
        <w:tc>
          <w:tcPr>
            <w:tcW w:w="6633" w:type="dxa"/>
            <w:tcBorders>
              <w:top w:val="single" w:sz="4" w:space="0" w:color="auto"/>
              <w:left w:val="single" w:sz="4" w:space="0" w:color="auto"/>
              <w:bottom w:val="single" w:sz="4" w:space="0" w:color="auto"/>
              <w:right w:val="single" w:sz="4" w:space="0" w:color="auto"/>
            </w:tcBorders>
            <w:hideMark/>
          </w:tcPr>
          <w:p w14:paraId="01742AC3" w14:textId="32421A01" w:rsidR="001B7EB0" w:rsidRDefault="001B7EB0" w:rsidP="00217545">
            <w:pPr>
              <w:rPr>
                <w:szCs w:val="22"/>
              </w:rPr>
            </w:pPr>
            <w:r>
              <w:rPr>
                <w:szCs w:val="22"/>
              </w:rPr>
              <w:t>Ved</w:t>
            </w:r>
            <w:r w:rsidR="005933F0">
              <w:rPr>
                <w:szCs w:val="22"/>
              </w:rPr>
              <w:t xml:space="preserve"> </w:t>
            </w:r>
            <w:r>
              <w:rPr>
                <w:szCs w:val="22"/>
              </w:rPr>
              <w:t>Applikation</w:t>
            </w:r>
            <w:r w:rsidR="00710A2A">
              <w:rPr>
                <w:szCs w:val="22"/>
              </w:rPr>
              <w:t>en</w:t>
            </w:r>
            <w:r>
              <w:rPr>
                <w:szCs w:val="22"/>
              </w:rPr>
              <w:t xml:space="preserve"> </w:t>
            </w:r>
            <w:r w:rsidR="004006EB" w:rsidRPr="00333E54">
              <w:rPr>
                <w:szCs w:val="22"/>
              </w:rPr>
              <w:t>forstås</w:t>
            </w:r>
            <w:r w:rsidR="004006EB">
              <w:rPr>
                <w:szCs w:val="22"/>
              </w:rPr>
              <w:t xml:space="preserve"> det </w:t>
            </w:r>
            <w:r w:rsidR="004006EB" w:rsidRPr="006E01FE">
              <w:t>i Bilag 3</w:t>
            </w:r>
            <w:r w:rsidR="00272D08" w:rsidRPr="008B4446">
              <w:rPr>
                <w:szCs w:val="22"/>
              </w:rPr>
              <w:t xml:space="preserve"> (Kundens I</w:t>
            </w:r>
            <w:r w:rsidR="00A1741E" w:rsidRPr="008B4446">
              <w:rPr>
                <w:szCs w:val="22"/>
              </w:rPr>
              <w:t>t</w:t>
            </w:r>
            <w:r w:rsidR="00272D08" w:rsidRPr="008B4446">
              <w:rPr>
                <w:szCs w:val="22"/>
              </w:rPr>
              <w:t>-miljø</w:t>
            </w:r>
            <w:r w:rsidR="004006EB" w:rsidRPr="008B4446">
              <w:rPr>
                <w:szCs w:val="22"/>
              </w:rPr>
              <w:t xml:space="preserve"> </w:t>
            </w:r>
            <w:r w:rsidR="00272D08" w:rsidRPr="008B4446">
              <w:rPr>
                <w:szCs w:val="22"/>
              </w:rPr>
              <w:t>og situationsbeskrivelse)</w:t>
            </w:r>
            <w:r w:rsidR="00272D08" w:rsidRPr="006E01FE">
              <w:t xml:space="preserve"> </w:t>
            </w:r>
            <w:r w:rsidR="004006EB" w:rsidRPr="006E01FE">
              <w:t xml:space="preserve">identificerede Programmel, samt det Programmel, som </w:t>
            </w:r>
            <w:r w:rsidR="003B6CA6">
              <w:t>i forbindelse med</w:t>
            </w:r>
            <w:r w:rsidR="004006EB" w:rsidRPr="006E01FE">
              <w:t xml:space="preserve"> Kontraktens opfyldelse</w:t>
            </w:r>
            <w:r w:rsidR="003B6CA6">
              <w:t xml:space="preserve"> bliver en </w:t>
            </w:r>
            <w:r w:rsidR="003B6CA6">
              <w:rPr>
                <w:szCs w:val="23"/>
              </w:rPr>
              <w:t xml:space="preserve">integreret og </w:t>
            </w:r>
            <w:r w:rsidR="005A1518">
              <w:rPr>
                <w:szCs w:val="23"/>
              </w:rPr>
              <w:t>i praksis</w:t>
            </w:r>
            <w:r w:rsidR="003B6CA6">
              <w:rPr>
                <w:szCs w:val="23"/>
              </w:rPr>
              <w:t xml:space="preserve"> uadskillelig </w:t>
            </w:r>
            <w:r w:rsidR="003B6CA6" w:rsidRPr="00820BBD">
              <w:rPr>
                <w:szCs w:val="23"/>
              </w:rPr>
              <w:t>del af</w:t>
            </w:r>
            <w:r w:rsidR="003B6CA6">
              <w:rPr>
                <w:szCs w:val="23"/>
              </w:rPr>
              <w:t xml:space="preserve"> </w:t>
            </w:r>
            <w:r w:rsidR="003B6CA6">
              <w:rPr>
                <w:szCs w:val="22"/>
              </w:rPr>
              <w:t xml:space="preserve">det </w:t>
            </w:r>
            <w:r w:rsidR="003B6CA6" w:rsidRPr="006E01FE">
              <w:t>i Bilag 3</w:t>
            </w:r>
            <w:r w:rsidR="003B6CA6" w:rsidRPr="008B4446">
              <w:rPr>
                <w:szCs w:val="22"/>
              </w:rPr>
              <w:t xml:space="preserve"> </w:t>
            </w:r>
            <w:r w:rsidR="003B6CA6" w:rsidRPr="006E01FE">
              <w:t>identificerede Programmel</w:t>
            </w:r>
            <w:r>
              <w:rPr>
                <w:szCs w:val="22"/>
              </w:rPr>
              <w:t>.</w:t>
            </w:r>
          </w:p>
        </w:tc>
      </w:tr>
      <w:tr w:rsidR="001B7EB0" w14:paraId="6A8598B9"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6DDDBEC1" w14:textId="77777777" w:rsidR="001B7EB0" w:rsidRPr="0083251D" w:rsidRDefault="001B7EB0" w:rsidP="00217545">
            <w:pPr>
              <w:rPr>
                <w:szCs w:val="23"/>
              </w:rPr>
            </w:pPr>
            <w:r w:rsidRPr="0083251D">
              <w:t>Applikationsdrift</w:t>
            </w:r>
          </w:p>
        </w:tc>
        <w:tc>
          <w:tcPr>
            <w:tcW w:w="6633" w:type="dxa"/>
            <w:tcBorders>
              <w:top w:val="single" w:sz="4" w:space="0" w:color="auto"/>
              <w:left w:val="single" w:sz="4" w:space="0" w:color="auto"/>
              <w:bottom w:val="single" w:sz="4" w:space="0" w:color="auto"/>
              <w:right w:val="single" w:sz="4" w:space="0" w:color="auto"/>
            </w:tcBorders>
            <w:hideMark/>
          </w:tcPr>
          <w:p w14:paraId="6EEBE38D" w14:textId="46E45310" w:rsidR="001B7EB0" w:rsidRDefault="001B7EB0" w:rsidP="00217545">
            <w:pPr>
              <w:rPr>
                <w:szCs w:val="22"/>
              </w:rPr>
            </w:pPr>
            <w:r w:rsidRPr="006E01FE">
              <w:t xml:space="preserve">Ved Applikationsdrift forstås </w:t>
            </w:r>
            <w:r w:rsidR="00884F6D" w:rsidRPr="006E01FE">
              <w:t xml:space="preserve">de </w:t>
            </w:r>
            <w:r w:rsidRPr="006E01FE">
              <w:t xml:space="preserve">i </w:t>
            </w:r>
            <w:r w:rsidR="001A2918" w:rsidRPr="006E01FE">
              <w:t>Kontraktens punkt 21</w:t>
            </w:r>
            <w:r w:rsidR="00884F6D" w:rsidRPr="006E01FE">
              <w:t xml:space="preserve"> og Bilag 12.c</w:t>
            </w:r>
            <w:r w:rsidR="00272D08" w:rsidRPr="006E01FE">
              <w:t xml:space="preserve"> </w:t>
            </w:r>
            <w:r w:rsidR="00272D08" w:rsidRPr="008B4446">
              <w:rPr>
                <w:szCs w:val="22"/>
              </w:rPr>
              <w:t>(</w:t>
            </w:r>
            <w:r w:rsidR="00FE5149">
              <w:rPr>
                <w:szCs w:val="22"/>
              </w:rPr>
              <w:t>Applikationsdrift</w:t>
            </w:r>
            <w:r w:rsidR="00272D08" w:rsidRPr="008B4446">
              <w:rPr>
                <w:szCs w:val="22"/>
              </w:rPr>
              <w:t>)</w:t>
            </w:r>
            <w:r w:rsidR="00884F6D" w:rsidRPr="008B4446">
              <w:rPr>
                <w:szCs w:val="22"/>
              </w:rPr>
              <w:t xml:space="preserve"> </w:t>
            </w:r>
            <w:r w:rsidR="00884F6D" w:rsidRPr="006E01FE">
              <w:t xml:space="preserve">beskrevne </w:t>
            </w:r>
            <w:r w:rsidR="00F72C1F" w:rsidRPr="006E01FE">
              <w:t>Y</w:t>
            </w:r>
            <w:r w:rsidR="00884F6D" w:rsidRPr="006E01FE">
              <w:t>delser</w:t>
            </w:r>
            <w:r w:rsidRPr="006E01FE">
              <w:t>.</w:t>
            </w:r>
          </w:p>
        </w:tc>
      </w:tr>
      <w:tr w:rsidR="001B7EB0" w14:paraId="032D086F"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2240DED4" w14:textId="77777777" w:rsidR="001B7EB0" w:rsidRPr="0083251D" w:rsidRDefault="001B7EB0" w:rsidP="00217545">
            <w:pPr>
              <w:rPr>
                <w:szCs w:val="23"/>
              </w:rPr>
            </w:pPr>
            <w:bookmarkStart w:id="2" w:name="_Hlk515982812"/>
            <w:r w:rsidRPr="0083251D">
              <w:t>Applikationsleverandør</w:t>
            </w:r>
          </w:p>
        </w:tc>
        <w:tc>
          <w:tcPr>
            <w:tcW w:w="6633" w:type="dxa"/>
            <w:tcBorders>
              <w:top w:val="single" w:sz="4" w:space="0" w:color="auto"/>
              <w:left w:val="single" w:sz="4" w:space="0" w:color="auto"/>
              <w:bottom w:val="single" w:sz="4" w:space="0" w:color="auto"/>
              <w:right w:val="single" w:sz="4" w:space="0" w:color="auto"/>
            </w:tcBorders>
            <w:hideMark/>
          </w:tcPr>
          <w:p w14:paraId="2DB13AE4" w14:textId="23C5D1D3" w:rsidR="001B7EB0" w:rsidRDefault="0003357B" w:rsidP="00217545">
            <w:pPr>
              <w:rPr>
                <w:szCs w:val="22"/>
              </w:rPr>
            </w:pPr>
            <w:r>
              <w:rPr>
                <w:szCs w:val="22"/>
              </w:rPr>
              <w:t>Ved Applikationsleverandør forstås e</w:t>
            </w:r>
            <w:r w:rsidR="001B7EB0">
              <w:rPr>
                <w:szCs w:val="22"/>
              </w:rPr>
              <w:t xml:space="preserve">n leverandør, som </w:t>
            </w:r>
            <w:r w:rsidR="00B93B23">
              <w:rPr>
                <w:szCs w:val="22"/>
              </w:rPr>
              <w:t>er helt eller delvist ansvarlig for</w:t>
            </w:r>
            <w:r w:rsidR="001B7EB0">
              <w:rPr>
                <w:szCs w:val="22"/>
              </w:rPr>
              <w:t xml:space="preserve"> en Applikation, der indgår i Systemet. </w:t>
            </w:r>
          </w:p>
        </w:tc>
      </w:tr>
      <w:bookmarkEnd w:id="2"/>
      <w:tr w:rsidR="001B7EB0" w14:paraId="6011D56A" w14:textId="77777777" w:rsidTr="0083251D">
        <w:trPr>
          <w:cantSplit/>
          <w:trHeight w:val="711"/>
        </w:trPr>
        <w:tc>
          <w:tcPr>
            <w:tcW w:w="2689" w:type="dxa"/>
            <w:tcBorders>
              <w:top w:val="single" w:sz="4" w:space="0" w:color="auto"/>
              <w:left w:val="single" w:sz="4" w:space="0" w:color="auto"/>
              <w:bottom w:val="single" w:sz="4" w:space="0" w:color="auto"/>
              <w:right w:val="single" w:sz="4" w:space="0" w:color="auto"/>
            </w:tcBorders>
            <w:hideMark/>
          </w:tcPr>
          <w:p w14:paraId="71A9485D" w14:textId="77777777" w:rsidR="001B7EB0" w:rsidRPr="0083251D" w:rsidRDefault="001B7EB0" w:rsidP="00217545">
            <w:pPr>
              <w:rPr>
                <w:szCs w:val="23"/>
              </w:rPr>
            </w:pPr>
            <w:r w:rsidRPr="0083251D">
              <w:t>Arbejdsdag</w:t>
            </w:r>
          </w:p>
        </w:tc>
        <w:tc>
          <w:tcPr>
            <w:tcW w:w="6633" w:type="dxa"/>
            <w:tcBorders>
              <w:top w:val="single" w:sz="4" w:space="0" w:color="auto"/>
              <w:left w:val="single" w:sz="4" w:space="0" w:color="auto"/>
              <w:bottom w:val="single" w:sz="4" w:space="0" w:color="auto"/>
              <w:right w:val="single" w:sz="4" w:space="0" w:color="auto"/>
            </w:tcBorders>
            <w:hideMark/>
          </w:tcPr>
          <w:p w14:paraId="064A00EA" w14:textId="48CE1630" w:rsidR="001B7EB0" w:rsidRDefault="001F391C" w:rsidP="00217545">
            <w:r>
              <w:rPr>
                <w:color w:val="000000"/>
                <w:szCs w:val="22"/>
              </w:rPr>
              <w:t xml:space="preserve">Ved Arbejdsdag forstås </w:t>
            </w:r>
            <w:r w:rsidR="006309B9">
              <w:rPr>
                <w:color w:val="000000"/>
                <w:szCs w:val="22"/>
              </w:rPr>
              <w:t>m</w:t>
            </w:r>
            <w:r w:rsidR="001B7EB0">
              <w:rPr>
                <w:color w:val="000000"/>
                <w:szCs w:val="22"/>
              </w:rPr>
              <w:t xml:space="preserve">andag til fredag bortset fra </w:t>
            </w:r>
            <w:r w:rsidR="0078066A">
              <w:rPr>
                <w:color w:val="000000"/>
                <w:szCs w:val="22"/>
              </w:rPr>
              <w:t xml:space="preserve">officielle danske </w:t>
            </w:r>
            <w:r w:rsidR="001B7EB0">
              <w:rPr>
                <w:szCs w:val="22"/>
              </w:rPr>
              <w:t>helligdage</w:t>
            </w:r>
            <w:r w:rsidR="001B7EB0">
              <w:rPr>
                <w:color w:val="000000"/>
                <w:szCs w:val="22"/>
              </w:rPr>
              <w:t>, juleaftensdag, nytårsaftensdag og grundlovsdag.</w:t>
            </w:r>
          </w:p>
        </w:tc>
      </w:tr>
      <w:tr w:rsidR="004759EB" w14:paraId="20527F6E" w14:textId="77777777" w:rsidTr="0083251D">
        <w:trPr>
          <w:cantSplit/>
          <w:trHeight w:val="711"/>
        </w:trPr>
        <w:tc>
          <w:tcPr>
            <w:tcW w:w="2689" w:type="dxa"/>
            <w:tcBorders>
              <w:top w:val="single" w:sz="4" w:space="0" w:color="auto"/>
              <w:left w:val="single" w:sz="4" w:space="0" w:color="auto"/>
              <w:bottom w:val="single" w:sz="4" w:space="0" w:color="auto"/>
              <w:right w:val="single" w:sz="4" w:space="0" w:color="auto"/>
            </w:tcBorders>
          </w:tcPr>
          <w:p w14:paraId="660F3832" w14:textId="7E8F90AE" w:rsidR="004759EB" w:rsidRPr="0083251D" w:rsidRDefault="004759EB" w:rsidP="00217545">
            <w:r w:rsidRPr="0083251D">
              <w:t>Assistenter</w:t>
            </w:r>
          </w:p>
        </w:tc>
        <w:tc>
          <w:tcPr>
            <w:tcW w:w="6633" w:type="dxa"/>
            <w:tcBorders>
              <w:top w:val="single" w:sz="4" w:space="0" w:color="auto"/>
              <w:left w:val="single" w:sz="4" w:space="0" w:color="auto"/>
              <w:bottom w:val="single" w:sz="4" w:space="0" w:color="auto"/>
              <w:right w:val="single" w:sz="4" w:space="0" w:color="auto"/>
            </w:tcBorders>
          </w:tcPr>
          <w:p w14:paraId="70EBC787" w14:textId="12BD32A8" w:rsidR="00272D08" w:rsidRPr="008B4446" w:rsidRDefault="004759EB" w:rsidP="00217545">
            <w:pPr>
              <w:rPr>
                <w:szCs w:val="22"/>
              </w:rPr>
            </w:pPr>
            <w:r w:rsidRPr="008B4446">
              <w:rPr>
                <w:szCs w:val="22"/>
              </w:rPr>
              <w:t>Ved Assistenter forstås den i bilag 12.g</w:t>
            </w:r>
            <w:r w:rsidR="00272D08" w:rsidRPr="008B4446">
              <w:rPr>
                <w:szCs w:val="22"/>
              </w:rPr>
              <w:t xml:space="preserve"> (Konsulentydelser)</w:t>
            </w:r>
            <w:r w:rsidRPr="008B4446">
              <w:rPr>
                <w:szCs w:val="22"/>
              </w:rPr>
              <w:t xml:space="preserve"> definerede konsulentkategori.</w:t>
            </w:r>
          </w:p>
        </w:tc>
      </w:tr>
      <w:tr w:rsidR="001B7EB0" w14:paraId="46AEA152"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A632916" w14:textId="77777777" w:rsidR="001B7EB0" w:rsidRPr="0083251D" w:rsidRDefault="001B7EB0" w:rsidP="00217545">
            <w:pPr>
              <w:rPr>
                <w:szCs w:val="23"/>
              </w:rPr>
            </w:pPr>
            <w:r w:rsidRPr="0083251D">
              <w:t>Bestillingsydelser</w:t>
            </w:r>
          </w:p>
        </w:tc>
        <w:tc>
          <w:tcPr>
            <w:tcW w:w="6633" w:type="dxa"/>
            <w:tcBorders>
              <w:top w:val="single" w:sz="4" w:space="0" w:color="auto"/>
              <w:left w:val="single" w:sz="4" w:space="0" w:color="auto"/>
              <w:bottom w:val="single" w:sz="4" w:space="0" w:color="auto"/>
              <w:right w:val="single" w:sz="4" w:space="0" w:color="auto"/>
            </w:tcBorders>
            <w:hideMark/>
          </w:tcPr>
          <w:p w14:paraId="192BF6FA" w14:textId="37D4305F" w:rsidR="001B7EB0" w:rsidRDefault="00187C6E" w:rsidP="00217545">
            <w:pPr>
              <w:rPr>
                <w:color w:val="000000"/>
                <w:szCs w:val="22"/>
              </w:rPr>
            </w:pPr>
            <w:r>
              <w:rPr>
                <w:color w:val="000000"/>
                <w:szCs w:val="22"/>
              </w:rPr>
              <w:t xml:space="preserve">Ved Bestillingsydelser forstås </w:t>
            </w:r>
            <w:r w:rsidR="001B7EB0">
              <w:rPr>
                <w:color w:val="000000"/>
                <w:szCs w:val="22"/>
              </w:rPr>
              <w:t>Standardbestillingsydelser, Konsulentydelser og Optioner.</w:t>
            </w:r>
          </w:p>
        </w:tc>
      </w:tr>
      <w:tr w:rsidR="001B7EB0" w14:paraId="4645E8CF"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46FB216" w14:textId="77777777" w:rsidR="001B7EB0" w:rsidRPr="0083251D" w:rsidRDefault="001B7EB0" w:rsidP="00217545">
            <w:pPr>
              <w:rPr>
                <w:szCs w:val="23"/>
              </w:rPr>
            </w:pPr>
            <w:r w:rsidRPr="0083251D">
              <w:t>Bruger</w:t>
            </w:r>
          </w:p>
        </w:tc>
        <w:tc>
          <w:tcPr>
            <w:tcW w:w="6633" w:type="dxa"/>
            <w:tcBorders>
              <w:top w:val="single" w:sz="4" w:space="0" w:color="auto"/>
              <w:left w:val="single" w:sz="4" w:space="0" w:color="auto"/>
              <w:bottom w:val="single" w:sz="4" w:space="0" w:color="auto"/>
              <w:right w:val="single" w:sz="4" w:space="0" w:color="auto"/>
            </w:tcBorders>
          </w:tcPr>
          <w:p w14:paraId="3C0FD407" w14:textId="48F259CF" w:rsidR="001B7EB0" w:rsidRDefault="00FB10E1" w:rsidP="00217545">
            <w:pPr>
              <w:rPr>
                <w:color w:val="000000"/>
                <w:szCs w:val="22"/>
              </w:rPr>
            </w:pPr>
            <w:bookmarkStart w:id="3" w:name="_Hlk499565555"/>
            <w:r w:rsidRPr="00FB10E1">
              <w:rPr>
                <w:color w:val="000000"/>
                <w:szCs w:val="22"/>
              </w:rPr>
              <w:t xml:space="preserve">Ved </w:t>
            </w:r>
            <w:r w:rsidR="0078066A">
              <w:rPr>
                <w:color w:val="000000"/>
                <w:szCs w:val="22"/>
              </w:rPr>
              <w:t xml:space="preserve">en </w:t>
            </w:r>
            <w:r w:rsidRPr="00FB10E1">
              <w:rPr>
                <w:color w:val="000000"/>
                <w:szCs w:val="22"/>
              </w:rPr>
              <w:t xml:space="preserve">Bruger forstås </w:t>
            </w:r>
            <w:r w:rsidR="0078066A">
              <w:rPr>
                <w:color w:val="000000"/>
                <w:szCs w:val="22"/>
              </w:rPr>
              <w:t xml:space="preserve">en </w:t>
            </w:r>
            <w:r w:rsidRPr="00FB10E1">
              <w:rPr>
                <w:color w:val="000000"/>
                <w:szCs w:val="22"/>
              </w:rPr>
              <w:t xml:space="preserve">ekstern </w:t>
            </w:r>
            <w:r w:rsidR="0078066A">
              <w:rPr>
                <w:color w:val="000000"/>
                <w:szCs w:val="22"/>
              </w:rPr>
              <w:t>eller</w:t>
            </w:r>
            <w:r w:rsidRPr="00FB10E1">
              <w:rPr>
                <w:color w:val="000000"/>
                <w:szCs w:val="22"/>
              </w:rPr>
              <w:t xml:space="preserve"> intern </w:t>
            </w:r>
            <w:r w:rsidR="008B0632">
              <w:rPr>
                <w:color w:val="000000"/>
                <w:szCs w:val="22"/>
              </w:rPr>
              <w:t xml:space="preserve">person, herunder </w:t>
            </w:r>
            <w:r w:rsidR="0078066A">
              <w:rPr>
                <w:color w:val="000000"/>
                <w:szCs w:val="22"/>
              </w:rPr>
              <w:t xml:space="preserve">en </w:t>
            </w:r>
            <w:r w:rsidR="008B0632">
              <w:rPr>
                <w:color w:val="000000"/>
                <w:szCs w:val="22"/>
              </w:rPr>
              <w:t>juridisk</w:t>
            </w:r>
            <w:r w:rsidR="0078066A">
              <w:rPr>
                <w:color w:val="000000"/>
                <w:szCs w:val="22"/>
              </w:rPr>
              <w:t xml:space="preserve"> person</w:t>
            </w:r>
            <w:r w:rsidRPr="00FB10E1">
              <w:rPr>
                <w:color w:val="000000"/>
                <w:szCs w:val="22"/>
              </w:rPr>
              <w:t>, der benytter Systemets funktionalitet</w:t>
            </w:r>
            <w:r w:rsidR="008B0632">
              <w:rPr>
                <w:color w:val="000000"/>
                <w:szCs w:val="22"/>
              </w:rPr>
              <w:t>.</w:t>
            </w:r>
            <w:bookmarkEnd w:id="3"/>
            <w:r w:rsidR="00A64B65">
              <w:rPr>
                <w:color w:val="000000"/>
                <w:szCs w:val="22"/>
              </w:rPr>
              <w:t xml:space="preserve"> Begrebet omfatter </w:t>
            </w:r>
            <w:r w:rsidR="00F0449E">
              <w:rPr>
                <w:color w:val="000000"/>
                <w:szCs w:val="22"/>
              </w:rPr>
              <w:t xml:space="preserve">både Slutbrugere og </w:t>
            </w:r>
            <w:r w:rsidR="00A64B65">
              <w:rPr>
                <w:color w:val="000000"/>
                <w:szCs w:val="22"/>
              </w:rPr>
              <w:t>Administrat</w:t>
            </w:r>
            <w:r w:rsidR="00EB23EA">
              <w:rPr>
                <w:color w:val="000000"/>
                <w:szCs w:val="22"/>
              </w:rPr>
              <w:t>or</w:t>
            </w:r>
            <w:r w:rsidR="001E76C0">
              <w:rPr>
                <w:color w:val="000000"/>
                <w:szCs w:val="22"/>
              </w:rPr>
              <w:t>er</w:t>
            </w:r>
            <w:r w:rsidR="00E0696B">
              <w:rPr>
                <w:color w:val="000000"/>
                <w:szCs w:val="22"/>
              </w:rPr>
              <w:t>.</w:t>
            </w:r>
          </w:p>
        </w:tc>
      </w:tr>
      <w:tr w:rsidR="001B7EB0" w14:paraId="562ACB42"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030125FE" w14:textId="77777777" w:rsidR="001B7EB0" w:rsidRPr="0083251D" w:rsidRDefault="001B7EB0" w:rsidP="00217545">
            <w:r w:rsidRPr="0083251D">
              <w:t>Dage</w:t>
            </w:r>
          </w:p>
        </w:tc>
        <w:tc>
          <w:tcPr>
            <w:tcW w:w="6633" w:type="dxa"/>
            <w:tcBorders>
              <w:top w:val="single" w:sz="4" w:space="0" w:color="auto"/>
              <w:left w:val="single" w:sz="4" w:space="0" w:color="auto"/>
              <w:bottom w:val="single" w:sz="4" w:space="0" w:color="auto"/>
              <w:right w:val="single" w:sz="4" w:space="0" w:color="auto"/>
            </w:tcBorders>
          </w:tcPr>
          <w:p w14:paraId="5E1B3E1D" w14:textId="734EAA1D" w:rsidR="001B7EB0" w:rsidRDefault="00187C6E" w:rsidP="00217545">
            <w:pPr>
              <w:rPr>
                <w:color w:val="000000"/>
                <w:szCs w:val="22"/>
              </w:rPr>
            </w:pPr>
            <w:r>
              <w:rPr>
                <w:color w:val="000000"/>
                <w:szCs w:val="22"/>
              </w:rPr>
              <w:t>Ved Dage forstås k</w:t>
            </w:r>
            <w:r w:rsidR="00D2459A">
              <w:rPr>
                <w:color w:val="000000"/>
                <w:szCs w:val="22"/>
              </w:rPr>
              <w:t>alenderdage.</w:t>
            </w:r>
          </w:p>
        </w:tc>
      </w:tr>
      <w:tr w:rsidR="00701410" w14:paraId="2BF9BF24"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4EEF9967" w14:textId="5BBFB442" w:rsidR="00701410" w:rsidRPr="0083251D" w:rsidRDefault="00701410" w:rsidP="00217545">
            <w:r w:rsidRPr="0083251D">
              <w:t>Dataansvarlig</w:t>
            </w:r>
          </w:p>
        </w:tc>
        <w:tc>
          <w:tcPr>
            <w:tcW w:w="6633" w:type="dxa"/>
            <w:tcBorders>
              <w:top w:val="single" w:sz="4" w:space="0" w:color="auto"/>
              <w:left w:val="single" w:sz="4" w:space="0" w:color="auto"/>
              <w:bottom w:val="single" w:sz="4" w:space="0" w:color="auto"/>
              <w:right w:val="single" w:sz="4" w:space="0" w:color="auto"/>
            </w:tcBorders>
          </w:tcPr>
          <w:p w14:paraId="58DCDC3C" w14:textId="369B8E53" w:rsidR="00701410" w:rsidRDefault="00642BB4" w:rsidP="00217545">
            <w:pPr>
              <w:rPr>
                <w:color w:val="000000"/>
                <w:szCs w:val="22"/>
              </w:rPr>
            </w:pPr>
            <w:r>
              <w:rPr>
                <w:color w:val="000000"/>
                <w:szCs w:val="22"/>
              </w:rPr>
              <w:t xml:space="preserve">Ved en Dataansvarlig forstås </w:t>
            </w:r>
            <w:r w:rsidRPr="00642BB4">
              <w:rPr>
                <w:color w:val="000000"/>
                <w:szCs w:val="22"/>
              </w:rPr>
              <w:t xml:space="preserve">en fysisk eller juridisk person, en offentlig myndighed, en institution eller et andet organ, der alene eller sammen med andre afgør, til hvilke formål og med hvilke hjælpemidler der må foretages behandling af personoplysninger; </w:t>
            </w:r>
          </w:p>
        </w:tc>
      </w:tr>
      <w:tr w:rsidR="00701410" w14:paraId="3345BF8C"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0DA1F889" w14:textId="00F1E3D5" w:rsidR="00701410" w:rsidRPr="0083251D" w:rsidRDefault="00642BB4" w:rsidP="00217545">
            <w:r w:rsidRPr="0083251D">
              <w:lastRenderedPageBreak/>
              <w:t>Databehandler</w:t>
            </w:r>
          </w:p>
        </w:tc>
        <w:tc>
          <w:tcPr>
            <w:tcW w:w="6633" w:type="dxa"/>
            <w:tcBorders>
              <w:top w:val="single" w:sz="4" w:space="0" w:color="auto"/>
              <w:left w:val="single" w:sz="4" w:space="0" w:color="auto"/>
              <w:bottom w:val="single" w:sz="4" w:space="0" w:color="auto"/>
              <w:right w:val="single" w:sz="4" w:space="0" w:color="auto"/>
            </w:tcBorders>
          </w:tcPr>
          <w:p w14:paraId="19C84683" w14:textId="5F44D887" w:rsidR="00701410" w:rsidRDefault="00642BB4" w:rsidP="00217545">
            <w:pPr>
              <w:rPr>
                <w:color w:val="000000"/>
                <w:szCs w:val="22"/>
              </w:rPr>
            </w:pPr>
            <w:r>
              <w:rPr>
                <w:color w:val="000000"/>
                <w:szCs w:val="22"/>
              </w:rPr>
              <w:t xml:space="preserve">Ved en Databehandler forstås </w:t>
            </w:r>
            <w:r w:rsidRPr="00642BB4">
              <w:rPr>
                <w:color w:val="000000"/>
                <w:szCs w:val="22"/>
              </w:rPr>
              <w:t xml:space="preserve">en fysisk eller juridisk person, en offentlig myndighed, en institution eller et andet organ, der behandler personoplysninger på den </w:t>
            </w:r>
            <w:r>
              <w:rPr>
                <w:color w:val="000000"/>
                <w:szCs w:val="22"/>
              </w:rPr>
              <w:t>D</w:t>
            </w:r>
            <w:r w:rsidRPr="00642BB4">
              <w:rPr>
                <w:color w:val="000000"/>
                <w:szCs w:val="22"/>
              </w:rPr>
              <w:t>ataansvarliges vegne</w:t>
            </w:r>
          </w:p>
        </w:tc>
      </w:tr>
      <w:tr w:rsidR="001B7EB0" w14:paraId="59BDC501"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42C482F6" w14:textId="77777777" w:rsidR="001B7EB0" w:rsidRPr="0083251D" w:rsidRDefault="001B7EB0" w:rsidP="00217545">
            <w:pPr>
              <w:rPr>
                <w:szCs w:val="23"/>
              </w:rPr>
            </w:pPr>
            <w:r w:rsidRPr="0083251D">
              <w:t>Datacenterdrift</w:t>
            </w:r>
          </w:p>
        </w:tc>
        <w:tc>
          <w:tcPr>
            <w:tcW w:w="6633" w:type="dxa"/>
            <w:tcBorders>
              <w:top w:val="single" w:sz="4" w:space="0" w:color="auto"/>
              <w:left w:val="single" w:sz="4" w:space="0" w:color="auto"/>
              <w:bottom w:val="single" w:sz="4" w:space="0" w:color="auto"/>
              <w:right w:val="single" w:sz="4" w:space="0" w:color="auto"/>
            </w:tcBorders>
            <w:hideMark/>
          </w:tcPr>
          <w:p w14:paraId="07E0E4FF" w14:textId="2B7C3BCA" w:rsidR="001B7EB0" w:rsidRDefault="001B7EB0" w:rsidP="00217545">
            <w:pPr>
              <w:rPr>
                <w:color w:val="000000"/>
                <w:szCs w:val="22"/>
              </w:rPr>
            </w:pPr>
            <w:r>
              <w:rPr>
                <w:color w:val="000000"/>
                <w:szCs w:val="22"/>
              </w:rPr>
              <w:t>Ved Datacenterdrift forstås de i</w:t>
            </w:r>
            <w:r w:rsidR="00884F6D">
              <w:rPr>
                <w:color w:val="000000"/>
                <w:szCs w:val="22"/>
              </w:rPr>
              <w:t xml:space="preserve"> Kontraktens punkt 23 og</w:t>
            </w:r>
            <w:r>
              <w:rPr>
                <w:color w:val="000000"/>
                <w:szCs w:val="22"/>
              </w:rPr>
              <w:t xml:space="preserve"> </w:t>
            </w:r>
            <w:r w:rsidR="00CC4A8D">
              <w:rPr>
                <w:color w:val="000000"/>
                <w:szCs w:val="22"/>
              </w:rPr>
              <w:t>Bilag</w:t>
            </w:r>
            <w:r>
              <w:rPr>
                <w:color w:val="000000"/>
                <w:szCs w:val="22"/>
              </w:rPr>
              <w:t xml:space="preserve"> 12.e</w:t>
            </w:r>
            <w:r w:rsidR="00272D08">
              <w:rPr>
                <w:color w:val="000000"/>
                <w:szCs w:val="22"/>
              </w:rPr>
              <w:t xml:space="preserve"> (Datacenterdrift)</w:t>
            </w:r>
            <w:r>
              <w:rPr>
                <w:color w:val="000000"/>
                <w:szCs w:val="22"/>
              </w:rPr>
              <w:t xml:space="preserve"> beskrevne Ydelser.</w:t>
            </w:r>
          </w:p>
        </w:tc>
      </w:tr>
      <w:tr w:rsidR="001B7EB0" w14:paraId="3658374A" w14:textId="77777777" w:rsidTr="0083251D">
        <w:trPr>
          <w:cantSplit/>
          <w:trHeight w:val="636"/>
        </w:trPr>
        <w:tc>
          <w:tcPr>
            <w:tcW w:w="2689" w:type="dxa"/>
            <w:tcBorders>
              <w:top w:val="single" w:sz="4" w:space="0" w:color="auto"/>
              <w:left w:val="single" w:sz="4" w:space="0" w:color="auto"/>
              <w:bottom w:val="single" w:sz="4" w:space="0" w:color="auto"/>
              <w:right w:val="single" w:sz="4" w:space="0" w:color="auto"/>
            </w:tcBorders>
            <w:hideMark/>
          </w:tcPr>
          <w:p w14:paraId="27A79553" w14:textId="77777777" w:rsidR="001B7EB0" w:rsidRPr="0083251D" w:rsidRDefault="001B7EB0" w:rsidP="00217545">
            <w:pPr>
              <w:rPr>
                <w:szCs w:val="23"/>
              </w:rPr>
            </w:pPr>
            <w:r w:rsidRPr="0083251D">
              <w:t>Dokumentation</w:t>
            </w:r>
          </w:p>
        </w:tc>
        <w:tc>
          <w:tcPr>
            <w:tcW w:w="6633" w:type="dxa"/>
            <w:tcBorders>
              <w:top w:val="single" w:sz="4" w:space="0" w:color="auto"/>
              <w:left w:val="single" w:sz="4" w:space="0" w:color="auto"/>
              <w:bottom w:val="single" w:sz="4" w:space="0" w:color="auto"/>
              <w:right w:val="single" w:sz="4" w:space="0" w:color="auto"/>
            </w:tcBorders>
            <w:hideMark/>
          </w:tcPr>
          <w:p w14:paraId="63184D3E" w14:textId="11277E08" w:rsidR="001B7EB0" w:rsidRDefault="00187C6E" w:rsidP="00217545">
            <w:pPr>
              <w:rPr>
                <w:color w:val="000000"/>
                <w:szCs w:val="22"/>
              </w:rPr>
            </w:pPr>
            <w:r>
              <w:rPr>
                <w:color w:val="000000"/>
                <w:szCs w:val="22"/>
              </w:rPr>
              <w:t>Ved Dokumentation forstås e</w:t>
            </w:r>
            <w:r w:rsidR="001B7EB0">
              <w:rPr>
                <w:color w:val="000000"/>
                <w:szCs w:val="22"/>
              </w:rPr>
              <w:t>nhver udarbejdet beskrivelse relateret til Ydelserne, jf. Bilag 13</w:t>
            </w:r>
            <w:r w:rsidR="00272D08">
              <w:rPr>
                <w:color w:val="000000"/>
                <w:szCs w:val="22"/>
              </w:rPr>
              <w:t xml:space="preserve"> (Dokumentation)</w:t>
            </w:r>
            <w:r w:rsidR="001B7EB0">
              <w:rPr>
                <w:color w:val="000000"/>
                <w:szCs w:val="22"/>
              </w:rPr>
              <w:t>.</w:t>
            </w:r>
          </w:p>
        </w:tc>
      </w:tr>
      <w:tr w:rsidR="00FE3BE4" w14:paraId="0D197865" w14:textId="77777777" w:rsidTr="0083251D">
        <w:trPr>
          <w:cantSplit/>
          <w:trHeight w:val="636"/>
        </w:trPr>
        <w:tc>
          <w:tcPr>
            <w:tcW w:w="2689" w:type="dxa"/>
            <w:tcBorders>
              <w:top w:val="single" w:sz="4" w:space="0" w:color="auto"/>
              <w:left w:val="single" w:sz="4" w:space="0" w:color="auto"/>
              <w:bottom w:val="single" w:sz="4" w:space="0" w:color="auto"/>
              <w:right w:val="single" w:sz="4" w:space="0" w:color="auto"/>
            </w:tcBorders>
          </w:tcPr>
          <w:p w14:paraId="6B434F7F" w14:textId="32E9527B" w:rsidR="00FE3BE4" w:rsidRPr="0083251D" w:rsidRDefault="00FE3BE4" w:rsidP="00217545">
            <w:r w:rsidRPr="0083251D">
              <w:t>Driftsfase</w:t>
            </w:r>
          </w:p>
        </w:tc>
        <w:tc>
          <w:tcPr>
            <w:tcW w:w="6633" w:type="dxa"/>
            <w:tcBorders>
              <w:top w:val="single" w:sz="4" w:space="0" w:color="auto"/>
              <w:left w:val="single" w:sz="4" w:space="0" w:color="auto"/>
              <w:bottom w:val="single" w:sz="4" w:space="0" w:color="auto"/>
              <w:right w:val="single" w:sz="4" w:space="0" w:color="auto"/>
            </w:tcBorders>
          </w:tcPr>
          <w:p w14:paraId="104DA0AB" w14:textId="60569D93" w:rsidR="00FE3BE4" w:rsidRDefault="001055CD" w:rsidP="00217545">
            <w:pPr>
              <w:rPr>
                <w:color w:val="000000"/>
                <w:szCs w:val="22"/>
              </w:rPr>
            </w:pPr>
            <w:r w:rsidRPr="008B4446">
              <w:rPr>
                <w:szCs w:val="22"/>
              </w:rPr>
              <w:t>Ved Driftsfase forstås perioden</w:t>
            </w:r>
            <w:r w:rsidR="00646E0D" w:rsidRPr="008B4446">
              <w:rPr>
                <w:szCs w:val="22"/>
              </w:rPr>
              <w:t>, hvor Leverandøren leverer Løbende Ydelser.</w:t>
            </w:r>
            <w:r w:rsidR="00646E0D">
              <w:rPr>
                <w:color w:val="000000"/>
                <w:szCs w:val="22"/>
              </w:rPr>
              <w:t xml:space="preserve"> </w:t>
            </w:r>
          </w:p>
        </w:tc>
      </w:tr>
      <w:tr w:rsidR="00FC625F" w14:paraId="67268319" w14:textId="77777777" w:rsidTr="0083251D">
        <w:trPr>
          <w:cantSplit/>
          <w:trHeight w:val="636"/>
        </w:trPr>
        <w:tc>
          <w:tcPr>
            <w:tcW w:w="2689" w:type="dxa"/>
            <w:tcBorders>
              <w:top w:val="single" w:sz="4" w:space="0" w:color="auto"/>
              <w:left w:val="single" w:sz="4" w:space="0" w:color="auto"/>
              <w:bottom w:val="single" w:sz="4" w:space="0" w:color="auto"/>
              <w:right w:val="single" w:sz="4" w:space="0" w:color="auto"/>
            </w:tcBorders>
          </w:tcPr>
          <w:p w14:paraId="3E65E6A7" w14:textId="461739C1" w:rsidR="00FC625F" w:rsidRPr="0083251D" w:rsidRDefault="00FC625F" w:rsidP="00217545">
            <w:r w:rsidRPr="0083251D">
              <w:t>Enheder</w:t>
            </w:r>
          </w:p>
        </w:tc>
        <w:tc>
          <w:tcPr>
            <w:tcW w:w="6633" w:type="dxa"/>
            <w:tcBorders>
              <w:top w:val="single" w:sz="4" w:space="0" w:color="auto"/>
              <w:left w:val="single" w:sz="4" w:space="0" w:color="auto"/>
              <w:bottom w:val="single" w:sz="4" w:space="0" w:color="auto"/>
              <w:right w:val="single" w:sz="4" w:space="0" w:color="auto"/>
            </w:tcBorders>
          </w:tcPr>
          <w:p w14:paraId="664E5BD9" w14:textId="68AC8972" w:rsidR="00FC625F" w:rsidRDefault="00FC625F" w:rsidP="00217545">
            <w:pPr>
              <w:rPr>
                <w:color w:val="000000"/>
                <w:szCs w:val="22"/>
              </w:rPr>
            </w:pPr>
            <w:r w:rsidRPr="008B4446">
              <w:rPr>
                <w:szCs w:val="22"/>
              </w:rPr>
              <w:t>Ved Enheder forstås Slutbrugeres it-enheder,</w:t>
            </w:r>
            <w:r w:rsidR="00B72F4D">
              <w:rPr>
                <w:szCs w:val="22"/>
              </w:rPr>
              <w:t xml:space="preserve"> som Systemet tilgås med,</w:t>
            </w:r>
            <w:r w:rsidRPr="008B4446">
              <w:rPr>
                <w:szCs w:val="22"/>
              </w:rPr>
              <w:t xml:space="preserve"> herunder stationære computere, bærbare computere, terminaler, tablets og smartphones mv.</w:t>
            </w:r>
          </w:p>
        </w:tc>
      </w:tr>
      <w:tr w:rsidR="0076365B" w14:paraId="61581E9A" w14:textId="77777777" w:rsidTr="0083251D">
        <w:trPr>
          <w:cantSplit/>
          <w:trHeight w:val="636"/>
        </w:trPr>
        <w:tc>
          <w:tcPr>
            <w:tcW w:w="2689" w:type="dxa"/>
            <w:tcBorders>
              <w:top w:val="single" w:sz="4" w:space="0" w:color="auto"/>
              <w:left w:val="single" w:sz="4" w:space="0" w:color="auto"/>
              <w:bottom w:val="single" w:sz="4" w:space="0" w:color="auto"/>
              <w:right w:val="single" w:sz="4" w:space="0" w:color="auto"/>
            </w:tcBorders>
          </w:tcPr>
          <w:p w14:paraId="78DDB6FC" w14:textId="3831AAD9" w:rsidR="0076365B" w:rsidRPr="0083251D" w:rsidRDefault="0076365B" w:rsidP="00217545">
            <w:r w:rsidRPr="0083251D">
              <w:t>Enhedsadministration</w:t>
            </w:r>
          </w:p>
        </w:tc>
        <w:tc>
          <w:tcPr>
            <w:tcW w:w="6633" w:type="dxa"/>
            <w:tcBorders>
              <w:top w:val="single" w:sz="4" w:space="0" w:color="auto"/>
              <w:left w:val="single" w:sz="4" w:space="0" w:color="auto"/>
              <w:bottom w:val="single" w:sz="4" w:space="0" w:color="auto"/>
              <w:right w:val="single" w:sz="4" w:space="0" w:color="auto"/>
            </w:tcBorders>
          </w:tcPr>
          <w:p w14:paraId="6CC1C965" w14:textId="560AB8AC" w:rsidR="0076365B" w:rsidRPr="008B4446" w:rsidRDefault="0076365B" w:rsidP="00217545">
            <w:pPr>
              <w:rPr>
                <w:szCs w:val="22"/>
              </w:rPr>
            </w:pPr>
            <w:r>
              <w:rPr>
                <w:color w:val="000000"/>
                <w:szCs w:val="22"/>
              </w:rPr>
              <w:t xml:space="preserve">Ved Enhedsadministration forstås de i Kontraktens punkt 19 og Bilag 12.a (Enhedsadministration) beskrevne Ydelser. </w:t>
            </w:r>
          </w:p>
        </w:tc>
      </w:tr>
      <w:tr w:rsidR="0076365B" w14:paraId="4CF27C0C"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799AA82A" w14:textId="77777777" w:rsidR="0076365B" w:rsidRPr="0083251D" w:rsidRDefault="0076365B" w:rsidP="00217545">
            <w:pPr>
              <w:rPr>
                <w:szCs w:val="23"/>
              </w:rPr>
            </w:pPr>
            <w:r w:rsidRPr="0083251D">
              <w:t>God it-skik</w:t>
            </w:r>
          </w:p>
        </w:tc>
        <w:tc>
          <w:tcPr>
            <w:tcW w:w="6633" w:type="dxa"/>
            <w:tcBorders>
              <w:top w:val="single" w:sz="4" w:space="0" w:color="auto"/>
              <w:left w:val="single" w:sz="4" w:space="0" w:color="auto"/>
              <w:bottom w:val="single" w:sz="4" w:space="0" w:color="auto"/>
              <w:right w:val="single" w:sz="4" w:space="0" w:color="auto"/>
            </w:tcBorders>
            <w:hideMark/>
          </w:tcPr>
          <w:p w14:paraId="3D32479F" w14:textId="060E083F" w:rsidR="0076365B" w:rsidRDefault="0076365B" w:rsidP="00217545">
            <w:r>
              <w:rPr>
                <w:szCs w:val="22"/>
              </w:rPr>
              <w:t>Ved God it-skik forstås en af it-branchen alment accepteret god udførelse inden for et bestemt område</w:t>
            </w:r>
            <w:r>
              <w:t>.</w:t>
            </w:r>
          </w:p>
        </w:tc>
      </w:tr>
      <w:tr w:rsidR="0076365B" w14:paraId="5A1D3EB8"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2484DF54" w14:textId="35E9F602" w:rsidR="0076365B" w:rsidRPr="0083251D" w:rsidRDefault="0076365B" w:rsidP="00217545">
            <w:r w:rsidRPr="0083251D">
              <w:t>Fejl</w:t>
            </w:r>
          </w:p>
        </w:tc>
        <w:tc>
          <w:tcPr>
            <w:tcW w:w="6633" w:type="dxa"/>
            <w:tcBorders>
              <w:top w:val="single" w:sz="4" w:space="0" w:color="auto"/>
              <w:left w:val="single" w:sz="4" w:space="0" w:color="auto"/>
              <w:bottom w:val="single" w:sz="4" w:space="0" w:color="auto"/>
              <w:right w:val="single" w:sz="4" w:space="0" w:color="auto"/>
            </w:tcBorders>
          </w:tcPr>
          <w:p w14:paraId="2E029DE9" w14:textId="03791F19" w:rsidR="0076365B" w:rsidRDefault="0076365B" w:rsidP="00217545">
            <w:r>
              <w:t>Ved Fejl forstås det forhold, at:</w:t>
            </w:r>
          </w:p>
          <w:p w14:paraId="3570C192" w14:textId="6AD81FD9" w:rsidR="0076365B" w:rsidRDefault="0076365B" w:rsidP="00217545">
            <w:r>
              <w:t xml:space="preserve">Leverandørens Ydelser ikke opfylder de i Kontrakten fastsatte krav, herunder Leverandørens garantier </w:t>
            </w:r>
          </w:p>
          <w:p w14:paraId="41BED448" w14:textId="4B2609DA" w:rsidR="0076365B" w:rsidRDefault="0076365B" w:rsidP="00217545">
            <w:r>
              <w:t>Ydelserne med hensyn til kvalitet, kvantitet, eller egnethed ikke fremtræder, som Kunden med føje kunne forvente på baggrund af indholdet af denne Kontrakt</w:t>
            </w:r>
          </w:p>
          <w:p w14:paraId="50E2AA9E" w14:textId="77777777" w:rsidR="0076365B" w:rsidRDefault="0076365B" w:rsidP="00217545"/>
          <w:p w14:paraId="18784C8B" w14:textId="52F21352" w:rsidR="0076365B" w:rsidRDefault="0076365B" w:rsidP="00217545">
            <w:pPr>
              <w:rPr>
                <w:szCs w:val="22"/>
              </w:rPr>
            </w:pPr>
            <w:r>
              <w:t>Se tillige definitionen af Mangel.</w:t>
            </w:r>
          </w:p>
        </w:tc>
      </w:tr>
      <w:tr w:rsidR="0076365B" w14:paraId="2F3D5644"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D8DB7AC" w14:textId="77777777" w:rsidR="0076365B" w:rsidRPr="0083251D" w:rsidRDefault="0076365B" w:rsidP="00217545">
            <w:r w:rsidRPr="0083251D">
              <w:t>Forsinkelse</w:t>
            </w:r>
          </w:p>
        </w:tc>
        <w:tc>
          <w:tcPr>
            <w:tcW w:w="6633" w:type="dxa"/>
            <w:tcBorders>
              <w:top w:val="single" w:sz="4" w:space="0" w:color="auto"/>
              <w:left w:val="single" w:sz="4" w:space="0" w:color="auto"/>
              <w:bottom w:val="single" w:sz="4" w:space="0" w:color="auto"/>
              <w:right w:val="single" w:sz="4" w:space="0" w:color="auto"/>
            </w:tcBorders>
            <w:hideMark/>
          </w:tcPr>
          <w:p w14:paraId="3F72B959" w14:textId="611A10A5" w:rsidR="0076365B" w:rsidRDefault="0076365B" w:rsidP="00217545">
            <w:r>
              <w:t xml:space="preserve">Ved Forsinkelse forstås det forhold, at Leverandøren ikke opfylder sine forpligtelser i overensstemmelse med tidsplanen i Bilag 2 (Tidsplan) eller i øvrigt aftalte frister, og dette ikke skyldes Kunden. </w:t>
            </w:r>
          </w:p>
        </w:tc>
      </w:tr>
      <w:tr w:rsidR="0076365B" w14:paraId="5ACD398B"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5F232B65" w14:textId="77777777" w:rsidR="0076365B" w:rsidRPr="0083251D" w:rsidRDefault="0076365B" w:rsidP="00217545">
            <w:r w:rsidRPr="0083251D">
              <w:t>Hypercare</w:t>
            </w:r>
          </w:p>
        </w:tc>
        <w:tc>
          <w:tcPr>
            <w:tcW w:w="6633" w:type="dxa"/>
            <w:tcBorders>
              <w:top w:val="single" w:sz="4" w:space="0" w:color="auto"/>
              <w:left w:val="single" w:sz="4" w:space="0" w:color="auto"/>
              <w:bottom w:val="single" w:sz="4" w:space="0" w:color="auto"/>
              <w:right w:val="single" w:sz="4" w:space="0" w:color="auto"/>
            </w:tcBorders>
          </w:tcPr>
          <w:p w14:paraId="6344A079" w14:textId="331AA0FE" w:rsidR="0076365B" w:rsidRDefault="0076365B" w:rsidP="00217545">
            <w:r>
              <w:t>Ved Hypercare forstås Leverandørens levering i en afgrænset periode af et forhøjet ”serviceniveau” for Løbende Ydelser som beskrevet i Bilag 12 (Ydelsesbeskrivelse).</w:t>
            </w:r>
          </w:p>
        </w:tc>
      </w:tr>
      <w:tr w:rsidR="00E93098" w14:paraId="514507B7"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5EBCE69D" w14:textId="4106EC8F" w:rsidR="00E93098" w:rsidRPr="0083251D" w:rsidRDefault="00E93098" w:rsidP="00217545">
            <w:r w:rsidRPr="0083251D">
              <w:lastRenderedPageBreak/>
              <w:t>Ibrugtagning</w:t>
            </w:r>
          </w:p>
        </w:tc>
        <w:tc>
          <w:tcPr>
            <w:tcW w:w="6633" w:type="dxa"/>
            <w:tcBorders>
              <w:top w:val="single" w:sz="4" w:space="0" w:color="auto"/>
              <w:left w:val="single" w:sz="4" w:space="0" w:color="auto"/>
              <w:bottom w:val="single" w:sz="4" w:space="0" w:color="auto"/>
              <w:right w:val="single" w:sz="4" w:space="0" w:color="auto"/>
            </w:tcBorders>
          </w:tcPr>
          <w:p w14:paraId="0FE7F8EB" w14:textId="3F266229" w:rsidR="00E93098" w:rsidRDefault="00E93098" w:rsidP="00217545">
            <w:pPr>
              <w:rPr>
                <w:szCs w:val="22"/>
              </w:rPr>
            </w:pPr>
            <w:r>
              <w:rPr>
                <w:szCs w:val="22"/>
              </w:rPr>
              <w:t>Ved Ibrugtagning forstås d</w:t>
            </w:r>
            <w:r w:rsidRPr="00E93098">
              <w:rPr>
                <w:szCs w:val="22"/>
              </w:rPr>
              <w:t xml:space="preserve">en dag, hvor Kunden begynder at modtage de Løbende Ydelser til at understøtte sine forretningsmæssige behov. Et eksempel på Ibrugtagning </w:t>
            </w:r>
            <w:r w:rsidR="002A2EED">
              <w:rPr>
                <w:szCs w:val="22"/>
              </w:rPr>
              <w:t xml:space="preserve">før Transitionsdagen </w:t>
            </w:r>
            <w:r>
              <w:rPr>
                <w:szCs w:val="22"/>
              </w:rPr>
              <w:t>kan være,</w:t>
            </w:r>
            <w:r w:rsidRPr="00E93098">
              <w:rPr>
                <w:szCs w:val="22"/>
              </w:rPr>
              <w:t xml:space="preserve"> at det</w:t>
            </w:r>
            <w:r>
              <w:rPr>
                <w:szCs w:val="22"/>
              </w:rPr>
              <w:t xml:space="preserve"> er</w:t>
            </w:r>
            <w:r w:rsidRPr="00E93098">
              <w:rPr>
                <w:szCs w:val="22"/>
              </w:rPr>
              <w:t xml:space="preserve"> teknisk muligt at modtage Infrastrukturdrift, men at transitionsprøven ikke kan bestås, f.eks. pga. mangelfuld dokumentation eller for mange Fejl. Kunden kan her vælge at ibru</w:t>
            </w:r>
            <w:r>
              <w:rPr>
                <w:szCs w:val="22"/>
              </w:rPr>
              <w:t>g</w:t>
            </w:r>
            <w:r w:rsidRPr="00E93098">
              <w:rPr>
                <w:szCs w:val="22"/>
              </w:rPr>
              <w:t xml:space="preserve">tage </w:t>
            </w:r>
            <w:r>
              <w:rPr>
                <w:szCs w:val="22"/>
              </w:rPr>
              <w:t>Y</w:t>
            </w:r>
            <w:r w:rsidRPr="00E93098">
              <w:rPr>
                <w:szCs w:val="22"/>
              </w:rPr>
              <w:t xml:space="preserve">delsen </w:t>
            </w:r>
            <w:r>
              <w:rPr>
                <w:szCs w:val="22"/>
              </w:rPr>
              <w:t>i henhold til</w:t>
            </w:r>
            <w:r w:rsidRPr="00E93098">
              <w:rPr>
                <w:szCs w:val="22"/>
              </w:rPr>
              <w:t xml:space="preserve"> </w:t>
            </w:r>
            <w:r w:rsidR="002A2EED">
              <w:rPr>
                <w:szCs w:val="22"/>
              </w:rPr>
              <w:t xml:space="preserve">Kontraktens </w:t>
            </w:r>
            <w:r w:rsidRPr="00E93098">
              <w:rPr>
                <w:szCs w:val="22"/>
              </w:rPr>
              <w:t>punkt 26.</w:t>
            </w:r>
          </w:p>
        </w:tc>
      </w:tr>
      <w:tr w:rsidR="0076365B" w14:paraId="70628715"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E255F71" w14:textId="77777777" w:rsidR="0076365B" w:rsidRPr="0083251D" w:rsidRDefault="0076365B" w:rsidP="00217545">
            <w:r w:rsidRPr="0083251D">
              <w:t>Incident</w:t>
            </w:r>
          </w:p>
        </w:tc>
        <w:tc>
          <w:tcPr>
            <w:tcW w:w="6633" w:type="dxa"/>
            <w:tcBorders>
              <w:top w:val="single" w:sz="4" w:space="0" w:color="auto"/>
              <w:left w:val="single" w:sz="4" w:space="0" w:color="auto"/>
              <w:bottom w:val="single" w:sz="4" w:space="0" w:color="auto"/>
              <w:right w:val="single" w:sz="4" w:space="0" w:color="auto"/>
            </w:tcBorders>
            <w:hideMark/>
          </w:tcPr>
          <w:p w14:paraId="4ACB32A3" w14:textId="0C93EAE6" w:rsidR="0076365B" w:rsidRDefault="0076365B" w:rsidP="00217545">
            <w:pPr>
              <w:rPr>
                <w:szCs w:val="22"/>
              </w:rPr>
            </w:pPr>
            <w:r>
              <w:rPr>
                <w:szCs w:val="22"/>
              </w:rPr>
              <w:t>Ved Incident forstås enhver hændelse, som ikke er en planlagt del af Ydelserne, og som forårsager eller kan forårsage en afbrydelse eller en reduktion af kvaliteten af driften af Systemet.</w:t>
            </w:r>
          </w:p>
        </w:tc>
      </w:tr>
      <w:tr w:rsidR="00AE66D1" w14:paraId="1139F5B9"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4E7763B7" w14:textId="30E87A89" w:rsidR="00AE66D1" w:rsidRPr="0083251D" w:rsidRDefault="00AE66D1" w:rsidP="00217545">
            <w:r w:rsidRPr="0083251D">
              <w:t>Indledende Ydelser</w:t>
            </w:r>
          </w:p>
        </w:tc>
        <w:tc>
          <w:tcPr>
            <w:tcW w:w="6633" w:type="dxa"/>
            <w:tcBorders>
              <w:top w:val="single" w:sz="4" w:space="0" w:color="auto"/>
              <w:left w:val="single" w:sz="4" w:space="0" w:color="auto"/>
              <w:bottom w:val="single" w:sz="4" w:space="0" w:color="auto"/>
              <w:right w:val="single" w:sz="4" w:space="0" w:color="auto"/>
            </w:tcBorders>
          </w:tcPr>
          <w:p w14:paraId="553945DC" w14:textId="1080A2DE" w:rsidR="00AE66D1" w:rsidRDefault="00AE66D1" w:rsidP="00217545">
            <w:pPr>
              <w:rPr>
                <w:szCs w:val="22"/>
              </w:rPr>
            </w:pPr>
            <w:r>
              <w:rPr>
                <w:szCs w:val="22"/>
              </w:rPr>
              <w:t>Ved Indledende Ydelser forstås Leverandørens opfyldelse af de krav, som Kunden stiller i henhold til Kontraktens kapitel IV.</w:t>
            </w:r>
          </w:p>
        </w:tc>
      </w:tr>
      <w:tr w:rsidR="0076365B" w14:paraId="109A7C7D"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EE511BD" w14:textId="77777777" w:rsidR="0076365B" w:rsidRPr="0083251D" w:rsidRDefault="0076365B" w:rsidP="00217545">
            <w:pPr>
              <w:rPr>
                <w:szCs w:val="23"/>
              </w:rPr>
            </w:pPr>
            <w:r w:rsidRPr="0083251D">
              <w:t xml:space="preserve">Infrastruktur </w:t>
            </w:r>
          </w:p>
        </w:tc>
        <w:tc>
          <w:tcPr>
            <w:tcW w:w="6633" w:type="dxa"/>
            <w:tcBorders>
              <w:top w:val="single" w:sz="4" w:space="0" w:color="auto"/>
              <w:left w:val="single" w:sz="4" w:space="0" w:color="auto"/>
              <w:bottom w:val="single" w:sz="4" w:space="0" w:color="auto"/>
              <w:right w:val="single" w:sz="4" w:space="0" w:color="auto"/>
            </w:tcBorders>
            <w:hideMark/>
          </w:tcPr>
          <w:p w14:paraId="04E642BA" w14:textId="34596070" w:rsidR="0076365B" w:rsidRDefault="0076365B" w:rsidP="00217545">
            <w:r>
              <w:t>Ved Infrastruktur forstås hardware, netværk (Lan, Wan, switches, routere, kabler), storage, Programmel, herunder operativsystemer og middleware.</w:t>
            </w:r>
          </w:p>
        </w:tc>
      </w:tr>
      <w:tr w:rsidR="0076365B" w14:paraId="5F662006"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11A6939E" w14:textId="77777777" w:rsidR="0076365B" w:rsidRPr="0083251D" w:rsidRDefault="0076365B" w:rsidP="00217545">
            <w:r w:rsidRPr="0083251D">
              <w:t>Infrastrukturdrift</w:t>
            </w:r>
          </w:p>
        </w:tc>
        <w:tc>
          <w:tcPr>
            <w:tcW w:w="6633" w:type="dxa"/>
            <w:tcBorders>
              <w:top w:val="single" w:sz="4" w:space="0" w:color="auto"/>
              <w:left w:val="single" w:sz="4" w:space="0" w:color="auto"/>
              <w:bottom w:val="single" w:sz="4" w:space="0" w:color="auto"/>
              <w:right w:val="single" w:sz="4" w:space="0" w:color="auto"/>
            </w:tcBorders>
            <w:hideMark/>
          </w:tcPr>
          <w:p w14:paraId="3E79BD76" w14:textId="60153CD9" w:rsidR="0076365B" w:rsidRDefault="0076365B" w:rsidP="00217545">
            <w:r>
              <w:rPr>
                <w:color w:val="000000"/>
                <w:szCs w:val="22"/>
              </w:rPr>
              <w:t>Ved Infrastrukturdrift forstås de i Kontraktens punkt 22 og Bilag 12.d (Infrastrukturdrift) beskrevne Ydelser.</w:t>
            </w:r>
          </w:p>
        </w:tc>
      </w:tr>
      <w:tr w:rsidR="0076365B" w14:paraId="66A8879F"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3C2F9117" w14:textId="4CABF9A3" w:rsidR="0076365B" w:rsidRPr="0083251D" w:rsidRDefault="0076365B" w:rsidP="00217545">
            <w:r w:rsidRPr="0083251D">
              <w:t>Juniorkonsulent</w:t>
            </w:r>
          </w:p>
        </w:tc>
        <w:tc>
          <w:tcPr>
            <w:tcW w:w="6633" w:type="dxa"/>
            <w:tcBorders>
              <w:top w:val="single" w:sz="4" w:space="0" w:color="auto"/>
              <w:left w:val="single" w:sz="4" w:space="0" w:color="auto"/>
              <w:bottom w:val="single" w:sz="4" w:space="0" w:color="auto"/>
              <w:right w:val="single" w:sz="4" w:space="0" w:color="auto"/>
            </w:tcBorders>
          </w:tcPr>
          <w:p w14:paraId="07DDE50B" w14:textId="29CC4C8A" w:rsidR="0076365B" w:rsidRPr="008B4446" w:rsidRDefault="0076365B" w:rsidP="00217545">
            <w:pPr>
              <w:rPr>
                <w:szCs w:val="22"/>
              </w:rPr>
            </w:pPr>
            <w:r w:rsidRPr="008B4446">
              <w:rPr>
                <w:szCs w:val="22"/>
              </w:rPr>
              <w:t>Ved Juniorkonsulent forstås den i bilag 12.g (Konsulentydelser) definerede konsulentkategori.</w:t>
            </w:r>
          </w:p>
        </w:tc>
      </w:tr>
      <w:tr w:rsidR="0076365B" w14:paraId="73D6AC5B" w14:textId="77777777" w:rsidTr="0083251D">
        <w:trPr>
          <w:cantSplit/>
          <w:trHeight w:val="611"/>
        </w:trPr>
        <w:tc>
          <w:tcPr>
            <w:tcW w:w="2689" w:type="dxa"/>
            <w:tcBorders>
              <w:top w:val="single" w:sz="4" w:space="0" w:color="auto"/>
              <w:left w:val="single" w:sz="4" w:space="0" w:color="auto"/>
              <w:bottom w:val="single" w:sz="4" w:space="0" w:color="auto"/>
              <w:right w:val="single" w:sz="4" w:space="0" w:color="auto"/>
            </w:tcBorders>
            <w:hideMark/>
          </w:tcPr>
          <w:p w14:paraId="6BE75CF2" w14:textId="77777777" w:rsidR="0076365B" w:rsidRPr="0083251D" w:rsidRDefault="0076365B" w:rsidP="00217545">
            <w:r w:rsidRPr="0083251D">
              <w:t>Konsulentydelser</w:t>
            </w:r>
          </w:p>
        </w:tc>
        <w:tc>
          <w:tcPr>
            <w:tcW w:w="6633" w:type="dxa"/>
            <w:tcBorders>
              <w:top w:val="single" w:sz="4" w:space="0" w:color="auto"/>
              <w:left w:val="single" w:sz="4" w:space="0" w:color="auto"/>
              <w:bottom w:val="single" w:sz="4" w:space="0" w:color="auto"/>
              <w:right w:val="single" w:sz="4" w:space="0" w:color="auto"/>
            </w:tcBorders>
            <w:hideMark/>
          </w:tcPr>
          <w:p w14:paraId="25E596CB" w14:textId="494A0080" w:rsidR="0076365B" w:rsidRDefault="0076365B" w:rsidP="00217545">
            <w:r>
              <w:rPr>
                <w:szCs w:val="22"/>
              </w:rPr>
              <w:t xml:space="preserve">Ved Konsulentydelser forstås de i Kontraktens punkt 28 og Bilag 12.g </w:t>
            </w:r>
            <w:r>
              <w:rPr>
                <w:color w:val="000000"/>
                <w:szCs w:val="22"/>
              </w:rPr>
              <w:t>(Konsulentydelser)</w:t>
            </w:r>
            <w:r>
              <w:rPr>
                <w:szCs w:val="22"/>
              </w:rPr>
              <w:t xml:space="preserve"> beskrevne Ydelser.</w:t>
            </w:r>
          </w:p>
        </w:tc>
      </w:tr>
      <w:tr w:rsidR="0076365B" w14:paraId="20651EAD" w14:textId="77777777" w:rsidTr="0083251D">
        <w:trPr>
          <w:cantSplit/>
          <w:trHeight w:val="270"/>
        </w:trPr>
        <w:tc>
          <w:tcPr>
            <w:tcW w:w="2689" w:type="dxa"/>
            <w:tcBorders>
              <w:top w:val="single" w:sz="4" w:space="0" w:color="auto"/>
              <w:left w:val="single" w:sz="4" w:space="0" w:color="auto"/>
              <w:bottom w:val="single" w:sz="4" w:space="0" w:color="auto"/>
              <w:right w:val="single" w:sz="4" w:space="0" w:color="auto"/>
            </w:tcBorders>
            <w:hideMark/>
          </w:tcPr>
          <w:p w14:paraId="0D9F0B42" w14:textId="77777777" w:rsidR="0076365B" w:rsidRPr="0083251D" w:rsidRDefault="0076365B" w:rsidP="00217545">
            <w:r w:rsidRPr="0083251D">
              <w:t>Kontrakten</w:t>
            </w:r>
          </w:p>
        </w:tc>
        <w:tc>
          <w:tcPr>
            <w:tcW w:w="6633" w:type="dxa"/>
            <w:tcBorders>
              <w:top w:val="single" w:sz="4" w:space="0" w:color="auto"/>
              <w:left w:val="single" w:sz="4" w:space="0" w:color="auto"/>
              <w:bottom w:val="single" w:sz="4" w:space="0" w:color="auto"/>
              <w:right w:val="single" w:sz="4" w:space="0" w:color="auto"/>
            </w:tcBorders>
            <w:hideMark/>
          </w:tcPr>
          <w:p w14:paraId="297FA18B" w14:textId="0199A67A" w:rsidR="0076365B" w:rsidRDefault="0076365B" w:rsidP="00217545">
            <w:pPr>
              <w:rPr>
                <w:color w:val="000000"/>
                <w:szCs w:val="22"/>
              </w:rPr>
            </w:pPr>
            <w:r>
              <w:rPr>
                <w:color w:val="000000"/>
                <w:szCs w:val="22"/>
              </w:rPr>
              <w:t xml:space="preserve">Ved Kontrakten forstås denne Kontrakt med bilag og </w:t>
            </w:r>
            <w:r>
              <w:rPr>
                <w:szCs w:val="22"/>
              </w:rPr>
              <w:t>alle</w:t>
            </w:r>
            <w:r>
              <w:rPr>
                <w:color w:val="000000"/>
                <w:szCs w:val="22"/>
              </w:rPr>
              <w:t xml:space="preserve"> senere ændringer og tillæg.</w:t>
            </w:r>
          </w:p>
        </w:tc>
      </w:tr>
      <w:tr w:rsidR="0076365B" w14:paraId="14835204" w14:textId="77777777" w:rsidTr="0083251D">
        <w:trPr>
          <w:cantSplit/>
          <w:trHeight w:val="1250"/>
        </w:trPr>
        <w:tc>
          <w:tcPr>
            <w:tcW w:w="2689" w:type="dxa"/>
            <w:tcBorders>
              <w:top w:val="single" w:sz="4" w:space="0" w:color="auto"/>
              <w:left w:val="single" w:sz="4" w:space="0" w:color="auto"/>
              <w:bottom w:val="single" w:sz="4" w:space="0" w:color="auto"/>
              <w:right w:val="single" w:sz="4" w:space="0" w:color="auto"/>
            </w:tcBorders>
            <w:hideMark/>
          </w:tcPr>
          <w:p w14:paraId="625689C5" w14:textId="77777777" w:rsidR="0076365B" w:rsidRPr="0083251D" w:rsidRDefault="0076365B" w:rsidP="00217545">
            <w:pPr>
              <w:rPr>
                <w:szCs w:val="23"/>
              </w:rPr>
            </w:pPr>
            <w:r w:rsidRPr="0083251D">
              <w:t>Kontraktuelle Ændringer</w:t>
            </w:r>
          </w:p>
        </w:tc>
        <w:tc>
          <w:tcPr>
            <w:tcW w:w="6633" w:type="dxa"/>
            <w:tcBorders>
              <w:top w:val="single" w:sz="4" w:space="0" w:color="auto"/>
              <w:left w:val="single" w:sz="4" w:space="0" w:color="auto"/>
              <w:bottom w:val="single" w:sz="4" w:space="0" w:color="auto"/>
              <w:right w:val="single" w:sz="4" w:space="0" w:color="auto"/>
            </w:tcBorders>
            <w:hideMark/>
          </w:tcPr>
          <w:p w14:paraId="2CF029E0" w14:textId="70754D5C" w:rsidR="0076365B" w:rsidRPr="00222C80" w:rsidRDefault="0076365B" w:rsidP="00217545">
            <w:pPr>
              <w:rPr>
                <w:szCs w:val="22"/>
              </w:rPr>
            </w:pPr>
            <w:r>
              <w:rPr>
                <w:szCs w:val="22"/>
              </w:rPr>
              <w:t>Ved Kontraktuelle Ændringer forstås ændringer af Kontrakten</w:t>
            </w:r>
            <w:r w:rsidR="00F56892">
              <w:rPr>
                <w:szCs w:val="22"/>
              </w:rPr>
              <w:t>, herunder</w:t>
            </w:r>
            <w:r>
              <w:rPr>
                <w:szCs w:val="22"/>
              </w:rPr>
              <w:t xml:space="preserve"> kontraktbilag. Kontraktuelle Ændringer følger ændringshåndteringsproceduren beskrevet i Bilag 7 (Ændringshåndtering af Kontraktuelle Ændringer).</w:t>
            </w:r>
          </w:p>
        </w:tc>
      </w:tr>
      <w:tr w:rsidR="0076365B" w14:paraId="53E5498A" w14:textId="77777777" w:rsidTr="0083251D">
        <w:trPr>
          <w:cantSplit/>
          <w:trHeight w:val="559"/>
        </w:trPr>
        <w:tc>
          <w:tcPr>
            <w:tcW w:w="2689" w:type="dxa"/>
            <w:tcBorders>
              <w:top w:val="single" w:sz="4" w:space="0" w:color="auto"/>
              <w:left w:val="single" w:sz="4" w:space="0" w:color="auto"/>
              <w:bottom w:val="single" w:sz="4" w:space="0" w:color="auto"/>
              <w:right w:val="single" w:sz="4" w:space="0" w:color="auto"/>
            </w:tcBorders>
            <w:hideMark/>
          </w:tcPr>
          <w:p w14:paraId="0CEE1C8D" w14:textId="77777777" w:rsidR="0076365B" w:rsidRPr="0083251D" w:rsidRDefault="0076365B" w:rsidP="00217545">
            <w:r w:rsidRPr="0083251D">
              <w:t>Koordineringsplan</w:t>
            </w:r>
          </w:p>
        </w:tc>
        <w:tc>
          <w:tcPr>
            <w:tcW w:w="6633" w:type="dxa"/>
            <w:tcBorders>
              <w:top w:val="single" w:sz="4" w:space="0" w:color="auto"/>
              <w:left w:val="single" w:sz="4" w:space="0" w:color="auto"/>
              <w:bottom w:val="single" w:sz="4" w:space="0" w:color="auto"/>
              <w:right w:val="single" w:sz="4" w:space="0" w:color="auto"/>
            </w:tcBorders>
            <w:hideMark/>
          </w:tcPr>
          <w:p w14:paraId="25CA106F" w14:textId="5389C9F4" w:rsidR="0076365B" w:rsidRDefault="0076365B" w:rsidP="00217545">
            <w:pPr>
              <w:rPr>
                <w:color w:val="000000"/>
                <w:szCs w:val="22"/>
              </w:rPr>
            </w:pPr>
            <w:r w:rsidRPr="005E5E97">
              <w:rPr>
                <w:szCs w:val="22"/>
              </w:rPr>
              <w:t xml:space="preserve">Ved Koordineringsplan forstås en løbende aktivitetsplan for Leverandørens samarbejde med </w:t>
            </w:r>
            <w:r>
              <w:rPr>
                <w:szCs w:val="22"/>
              </w:rPr>
              <w:t>Øvrige Leverandører relateret til Systemet</w:t>
            </w:r>
            <w:r w:rsidRPr="005E5E97">
              <w:rPr>
                <w:szCs w:val="22"/>
              </w:rPr>
              <w:t>.</w:t>
            </w:r>
            <w:r>
              <w:rPr>
                <w:color w:val="000000"/>
                <w:szCs w:val="22"/>
              </w:rPr>
              <w:t xml:space="preserve"> </w:t>
            </w:r>
          </w:p>
        </w:tc>
      </w:tr>
      <w:tr w:rsidR="0076365B" w14:paraId="5AAF3CD2" w14:textId="77777777" w:rsidTr="0083251D">
        <w:trPr>
          <w:cantSplit/>
          <w:trHeight w:val="559"/>
        </w:trPr>
        <w:tc>
          <w:tcPr>
            <w:tcW w:w="2689" w:type="dxa"/>
            <w:tcBorders>
              <w:top w:val="single" w:sz="4" w:space="0" w:color="auto"/>
              <w:left w:val="single" w:sz="4" w:space="0" w:color="auto"/>
              <w:bottom w:val="single" w:sz="4" w:space="0" w:color="auto"/>
              <w:right w:val="single" w:sz="4" w:space="0" w:color="auto"/>
            </w:tcBorders>
          </w:tcPr>
          <w:p w14:paraId="21B180E0" w14:textId="0915E839" w:rsidR="0076365B" w:rsidRPr="0083251D" w:rsidRDefault="0076365B" w:rsidP="00217545">
            <w:r w:rsidRPr="0083251D">
              <w:t>KPI</w:t>
            </w:r>
          </w:p>
        </w:tc>
        <w:tc>
          <w:tcPr>
            <w:tcW w:w="6633" w:type="dxa"/>
            <w:tcBorders>
              <w:top w:val="single" w:sz="4" w:space="0" w:color="auto"/>
              <w:left w:val="single" w:sz="4" w:space="0" w:color="auto"/>
              <w:bottom w:val="single" w:sz="4" w:space="0" w:color="auto"/>
              <w:right w:val="single" w:sz="4" w:space="0" w:color="auto"/>
            </w:tcBorders>
          </w:tcPr>
          <w:p w14:paraId="31A9D077" w14:textId="31F4D007" w:rsidR="0076365B" w:rsidRPr="005E5E97" w:rsidRDefault="0076365B" w:rsidP="00217545">
            <w:pPr>
              <w:rPr>
                <w:szCs w:val="22"/>
              </w:rPr>
            </w:pPr>
            <w:r>
              <w:rPr>
                <w:szCs w:val="22"/>
              </w:rPr>
              <w:t>Ved KPI (Key Performance Indicator) forstås et forhold hvorpå kvaliteten af Leverandørens Ydelser måles.</w:t>
            </w:r>
          </w:p>
        </w:tc>
      </w:tr>
      <w:tr w:rsidR="0076365B" w14:paraId="68579152"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1E431D75" w14:textId="77777777" w:rsidR="0076365B" w:rsidRPr="0083251D" w:rsidRDefault="0076365B" w:rsidP="00217545">
            <w:pPr>
              <w:rPr>
                <w:szCs w:val="23"/>
              </w:rPr>
            </w:pPr>
            <w:r w:rsidRPr="0083251D">
              <w:t>Kundespecifikt Programmel</w:t>
            </w:r>
          </w:p>
        </w:tc>
        <w:tc>
          <w:tcPr>
            <w:tcW w:w="6633" w:type="dxa"/>
            <w:tcBorders>
              <w:top w:val="single" w:sz="4" w:space="0" w:color="auto"/>
              <w:left w:val="single" w:sz="4" w:space="0" w:color="auto"/>
              <w:bottom w:val="single" w:sz="4" w:space="0" w:color="auto"/>
              <w:right w:val="single" w:sz="4" w:space="0" w:color="auto"/>
            </w:tcBorders>
            <w:hideMark/>
          </w:tcPr>
          <w:p w14:paraId="0FCDE1AE" w14:textId="0F425379" w:rsidR="0076365B" w:rsidRDefault="0076365B" w:rsidP="00217545">
            <w:pPr>
              <w:rPr>
                <w:color w:val="000000"/>
                <w:szCs w:val="22"/>
              </w:rPr>
            </w:pPr>
            <w:r>
              <w:rPr>
                <w:color w:val="000000"/>
                <w:szCs w:val="22"/>
              </w:rPr>
              <w:t xml:space="preserve">Ved Kundespecifikt Programmel forstås Programmel udviklet specielt til Kunden. </w:t>
            </w:r>
          </w:p>
        </w:tc>
      </w:tr>
      <w:tr w:rsidR="0076365B" w14:paraId="36246414" w14:textId="77777777" w:rsidTr="0083251D">
        <w:trPr>
          <w:cantSplit/>
          <w:trHeight w:val="904"/>
        </w:trPr>
        <w:tc>
          <w:tcPr>
            <w:tcW w:w="2689" w:type="dxa"/>
            <w:tcBorders>
              <w:top w:val="single" w:sz="4" w:space="0" w:color="auto"/>
              <w:left w:val="single" w:sz="4" w:space="0" w:color="auto"/>
              <w:bottom w:val="single" w:sz="4" w:space="0" w:color="auto"/>
              <w:right w:val="single" w:sz="4" w:space="0" w:color="auto"/>
            </w:tcBorders>
          </w:tcPr>
          <w:p w14:paraId="70F81595" w14:textId="68156656" w:rsidR="0076365B" w:rsidRPr="0083251D" w:rsidRDefault="0076365B" w:rsidP="00217545">
            <w:r w:rsidRPr="0083251D">
              <w:lastRenderedPageBreak/>
              <w:t>Kundens It-miljø</w:t>
            </w:r>
          </w:p>
        </w:tc>
        <w:tc>
          <w:tcPr>
            <w:tcW w:w="6633" w:type="dxa"/>
            <w:tcBorders>
              <w:top w:val="single" w:sz="4" w:space="0" w:color="auto"/>
              <w:left w:val="single" w:sz="4" w:space="0" w:color="auto"/>
              <w:bottom w:val="single" w:sz="4" w:space="0" w:color="auto"/>
              <w:right w:val="single" w:sz="4" w:space="0" w:color="auto"/>
            </w:tcBorders>
          </w:tcPr>
          <w:p w14:paraId="7860D6FB" w14:textId="27372ABD" w:rsidR="0076365B" w:rsidRDefault="0076365B" w:rsidP="00217545">
            <w:pPr>
              <w:rPr>
                <w:color w:val="000000"/>
                <w:szCs w:val="22"/>
              </w:rPr>
            </w:pPr>
            <w:bookmarkStart w:id="4" w:name="_Hlk502758369"/>
            <w:r w:rsidRPr="005E5E97">
              <w:t xml:space="preserve">Ved Kundens </w:t>
            </w:r>
            <w:r>
              <w:t>I</w:t>
            </w:r>
            <w:r w:rsidRPr="005E5E97">
              <w:t xml:space="preserve">t-miljø forstås </w:t>
            </w:r>
            <w:r w:rsidR="00D64249">
              <w:t>A</w:t>
            </w:r>
            <w:r w:rsidR="00E3030E">
              <w:t>pplikationen</w:t>
            </w:r>
            <w:r w:rsidR="004A3603">
              <w:t xml:space="preserve"> og eksisterende data</w:t>
            </w:r>
            <w:r w:rsidRPr="005E5E97">
              <w:t>, som Leverandøren skal levere Ydelser i</w:t>
            </w:r>
            <w:r>
              <w:rPr>
                <w:color w:val="000000"/>
                <w:szCs w:val="22"/>
              </w:rPr>
              <w:t xml:space="preserve"> relation til</w:t>
            </w:r>
            <w:r w:rsidR="00AC5130">
              <w:rPr>
                <w:color w:val="000000"/>
                <w:szCs w:val="22"/>
              </w:rPr>
              <w:t xml:space="preserve"> samt Kundens eksisterende Infrastruktur</w:t>
            </w:r>
            <w:r>
              <w:rPr>
                <w:color w:val="000000"/>
                <w:szCs w:val="22"/>
              </w:rPr>
              <w:t>. Kundens It-miljø er beskrevet i Bilag 3</w:t>
            </w:r>
            <w:r w:rsidR="00AC5130">
              <w:rPr>
                <w:color w:val="000000"/>
                <w:szCs w:val="22"/>
              </w:rPr>
              <w:t xml:space="preserve"> – Kundens It-miljø</w:t>
            </w:r>
            <w:r>
              <w:rPr>
                <w:color w:val="000000"/>
                <w:szCs w:val="22"/>
              </w:rPr>
              <w:t xml:space="preserve"> (</w:t>
            </w:r>
            <w:r w:rsidR="00AC5130">
              <w:rPr>
                <w:color w:val="000000"/>
                <w:szCs w:val="22"/>
              </w:rPr>
              <w:t>Applikation og Kundens eksisterende Infrastruktur</w:t>
            </w:r>
            <w:r>
              <w:rPr>
                <w:color w:val="000000"/>
                <w:szCs w:val="22"/>
              </w:rPr>
              <w:t>).</w:t>
            </w:r>
            <w:bookmarkEnd w:id="4"/>
          </w:p>
        </w:tc>
      </w:tr>
      <w:tr w:rsidR="0076365B" w14:paraId="611552F1"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26EF113" w14:textId="77777777" w:rsidR="0076365B" w:rsidRPr="0083251D" w:rsidRDefault="0076365B" w:rsidP="00217545">
            <w:pPr>
              <w:rPr>
                <w:szCs w:val="23"/>
              </w:rPr>
            </w:pPr>
            <w:r w:rsidRPr="0083251D">
              <w:t>Leverandørspecifikt Programmel</w:t>
            </w:r>
          </w:p>
        </w:tc>
        <w:tc>
          <w:tcPr>
            <w:tcW w:w="6633" w:type="dxa"/>
            <w:tcBorders>
              <w:top w:val="single" w:sz="4" w:space="0" w:color="auto"/>
              <w:left w:val="single" w:sz="4" w:space="0" w:color="auto"/>
              <w:bottom w:val="single" w:sz="4" w:space="0" w:color="auto"/>
              <w:right w:val="single" w:sz="4" w:space="0" w:color="auto"/>
            </w:tcBorders>
            <w:hideMark/>
          </w:tcPr>
          <w:p w14:paraId="75232A29" w14:textId="52772FC8" w:rsidR="0076365B" w:rsidRDefault="0076365B" w:rsidP="00217545">
            <w:pPr>
              <w:rPr>
                <w:szCs w:val="22"/>
              </w:rPr>
            </w:pPr>
            <w:r>
              <w:rPr>
                <w:szCs w:val="22"/>
              </w:rPr>
              <w:t>Ved Leverandørspecifikt Programmel forstås Programmel, der hverken er Standardprogrammel eller Kundespecifikt Programmel.</w:t>
            </w:r>
          </w:p>
        </w:tc>
      </w:tr>
      <w:tr w:rsidR="0076365B" w14:paraId="4F45E6DE"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A1BD5A0" w14:textId="77777777" w:rsidR="0076365B" w:rsidRPr="0083251D" w:rsidRDefault="0076365B" w:rsidP="00217545">
            <w:pPr>
              <w:rPr>
                <w:szCs w:val="23"/>
              </w:rPr>
            </w:pPr>
            <w:r w:rsidRPr="0083251D">
              <w:t>Løbende Ydelser</w:t>
            </w:r>
          </w:p>
        </w:tc>
        <w:tc>
          <w:tcPr>
            <w:tcW w:w="6633" w:type="dxa"/>
            <w:tcBorders>
              <w:top w:val="single" w:sz="4" w:space="0" w:color="auto"/>
              <w:left w:val="single" w:sz="4" w:space="0" w:color="auto"/>
              <w:bottom w:val="single" w:sz="4" w:space="0" w:color="auto"/>
              <w:right w:val="single" w:sz="4" w:space="0" w:color="auto"/>
            </w:tcBorders>
            <w:hideMark/>
          </w:tcPr>
          <w:p w14:paraId="68DF0814" w14:textId="1C0DC68C" w:rsidR="0076365B" w:rsidRDefault="0076365B" w:rsidP="00217545">
            <w:r>
              <w:rPr>
                <w:szCs w:val="22"/>
              </w:rPr>
              <w:t xml:space="preserve">Ved Løbende Ydelser forstås Leverandørens opfyldelse af de krav, som Kunden stiller i henhold Kontraktens </w:t>
            </w:r>
            <w:r w:rsidRPr="00693EB6">
              <w:rPr>
                <w:szCs w:val="22"/>
              </w:rPr>
              <w:t>kapitel V.</w:t>
            </w:r>
          </w:p>
        </w:tc>
      </w:tr>
      <w:tr w:rsidR="0076365B" w14:paraId="3E6A21BB"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47B6B94D" w14:textId="2BD0890C" w:rsidR="0076365B" w:rsidRPr="0083251D" w:rsidRDefault="0076365B" w:rsidP="00217545">
            <w:r w:rsidRPr="0083251D">
              <w:t xml:space="preserve">Mangel </w:t>
            </w:r>
          </w:p>
        </w:tc>
        <w:tc>
          <w:tcPr>
            <w:tcW w:w="6633" w:type="dxa"/>
            <w:tcBorders>
              <w:top w:val="single" w:sz="4" w:space="0" w:color="auto"/>
              <w:left w:val="single" w:sz="4" w:space="0" w:color="auto"/>
              <w:bottom w:val="single" w:sz="4" w:space="0" w:color="auto"/>
              <w:right w:val="single" w:sz="4" w:space="0" w:color="auto"/>
            </w:tcBorders>
            <w:hideMark/>
          </w:tcPr>
          <w:p w14:paraId="47EF92F8" w14:textId="2EFE7EE1" w:rsidR="0076365B" w:rsidRDefault="0076365B" w:rsidP="00217545">
            <w:r>
              <w:t>Ved Mangel forstås det forhold, at:</w:t>
            </w:r>
          </w:p>
          <w:p w14:paraId="4CE5FF52" w14:textId="1FD7B594" w:rsidR="0076365B" w:rsidRDefault="0076365B" w:rsidP="00217545">
            <w:r>
              <w:t xml:space="preserve">Leverandørens Ydelser ikke opfylder de i Kontrakten fastsatte krav, herunder Leverandørens garantier, eller </w:t>
            </w:r>
          </w:p>
          <w:p w14:paraId="358A1361" w14:textId="1571F7CB" w:rsidR="0076365B" w:rsidRDefault="0076365B" w:rsidP="00217545">
            <w:r>
              <w:t xml:space="preserve">Ydelserne med hensyn til kvalitet, kvantitet, eller egnethed ikke fremtræder, som Kunden med føje kunne forvente på baggrund af indholdet af denne Kontrakt. </w:t>
            </w:r>
          </w:p>
          <w:p w14:paraId="3A0E735D" w14:textId="77777777" w:rsidR="0076365B" w:rsidRDefault="0076365B" w:rsidP="00217545"/>
          <w:p w14:paraId="1F6D47D9" w14:textId="2B03571C" w:rsidR="0076365B" w:rsidRDefault="0076365B" w:rsidP="00217545">
            <w:r>
              <w:t>Se tillige definitionen af Fejl.</w:t>
            </w:r>
          </w:p>
        </w:tc>
      </w:tr>
      <w:tr w:rsidR="0076365B" w14:paraId="09F93678"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89CCADE" w14:textId="17DD6AEC" w:rsidR="0076365B" w:rsidRPr="0083251D" w:rsidRDefault="0076365B" w:rsidP="00217545">
            <w:r w:rsidRPr="0083251D">
              <w:t>Meddelelse</w:t>
            </w:r>
          </w:p>
        </w:tc>
        <w:tc>
          <w:tcPr>
            <w:tcW w:w="6633" w:type="dxa"/>
            <w:tcBorders>
              <w:top w:val="single" w:sz="4" w:space="0" w:color="auto"/>
              <w:left w:val="single" w:sz="4" w:space="0" w:color="auto"/>
              <w:bottom w:val="single" w:sz="4" w:space="0" w:color="auto"/>
              <w:right w:val="single" w:sz="4" w:space="0" w:color="auto"/>
            </w:tcBorders>
            <w:hideMark/>
          </w:tcPr>
          <w:p w14:paraId="021F6884" w14:textId="2BC0A831" w:rsidR="0076365B" w:rsidRDefault="0076365B" w:rsidP="00217545">
            <w:pPr>
              <w:rPr>
                <w:color w:val="000000"/>
                <w:szCs w:val="22"/>
              </w:rPr>
            </w:pPr>
            <w:r>
              <w:rPr>
                <w:color w:val="000000"/>
                <w:szCs w:val="22"/>
              </w:rPr>
              <w:t xml:space="preserve">Ved Meddelelse forstås en skriftlig </w:t>
            </w:r>
            <w:r>
              <w:rPr>
                <w:szCs w:val="22"/>
              </w:rPr>
              <w:t>kommunikation</w:t>
            </w:r>
            <w:r>
              <w:rPr>
                <w:color w:val="000000"/>
                <w:szCs w:val="22"/>
              </w:rPr>
              <w:t xml:space="preserve"> afgivet pr. brev eller pr. e-mail</w:t>
            </w:r>
            <w:r w:rsidR="00EF53F5">
              <w:rPr>
                <w:color w:val="000000"/>
                <w:szCs w:val="22"/>
              </w:rPr>
              <w:t xml:space="preserve"> til relevant kontaktperson, jf. Bilag 4.a,</w:t>
            </w:r>
            <w:r>
              <w:rPr>
                <w:color w:val="000000"/>
                <w:szCs w:val="22"/>
              </w:rPr>
              <w:t xml:space="preserve"> eller meddelelse givet på styregruppemøde, som fremgår af godkendt referat.</w:t>
            </w:r>
          </w:p>
        </w:tc>
      </w:tr>
      <w:tr w:rsidR="0076365B" w14:paraId="316A01C6"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6FC4FAA2" w14:textId="315DB02E" w:rsidR="0076365B" w:rsidRPr="0083251D" w:rsidRDefault="0076365B" w:rsidP="00217545">
            <w:r w:rsidRPr="0083251D">
              <w:t>Miljø</w:t>
            </w:r>
          </w:p>
        </w:tc>
        <w:tc>
          <w:tcPr>
            <w:tcW w:w="6633" w:type="dxa"/>
            <w:tcBorders>
              <w:top w:val="single" w:sz="4" w:space="0" w:color="auto"/>
              <w:left w:val="single" w:sz="4" w:space="0" w:color="auto"/>
              <w:bottom w:val="single" w:sz="4" w:space="0" w:color="auto"/>
              <w:right w:val="single" w:sz="4" w:space="0" w:color="auto"/>
            </w:tcBorders>
          </w:tcPr>
          <w:p w14:paraId="3BB678F6" w14:textId="2CD8B517" w:rsidR="0076365B" w:rsidRPr="008B4446" w:rsidRDefault="0076365B" w:rsidP="00217545">
            <w:r w:rsidRPr="008B4446">
              <w:t xml:space="preserve">Ved Miljø forstås en </w:t>
            </w:r>
            <w:r>
              <w:t>udgave</w:t>
            </w:r>
            <w:r w:rsidRPr="008B4446">
              <w:t xml:space="preserve"> af Systemet, der anvendes til et særligt formål. </w:t>
            </w:r>
          </w:p>
          <w:p w14:paraId="624B4A2F" w14:textId="77777777" w:rsidR="0076365B" w:rsidRPr="008B4446" w:rsidRDefault="0076365B" w:rsidP="00217545"/>
          <w:p w14:paraId="72D00558" w14:textId="10A807CE" w:rsidR="0076365B" w:rsidRDefault="0076365B" w:rsidP="00217545">
            <w:pPr>
              <w:rPr>
                <w:color w:val="000000"/>
                <w:szCs w:val="22"/>
              </w:rPr>
            </w:pPr>
            <w:r w:rsidRPr="008B4446">
              <w:t xml:space="preserve">Hvert Miljø indeholder en </w:t>
            </w:r>
            <w:r>
              <w:t xml:space="preserve">fuld eller delvis udgave af </w:t>
            </w:r>
            <w:r w:rsidRPr="008B4446">
              <w:t>System</w:t>
            </w:r>
            <w:r>
              <w:t>et</w:t>
            </w:r>
            <w:r w:rsidRPr="008B4446">
              <w:t xml:space="preserve">. </w:t>
            </w:r>
          </w:p>
        </w:tc>
      </w:tr>
      <w:tr w:rsidR="0076365B" w14:paraId="0DA172CA"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501F9D7E" w14:textId="1B2A585C" w:rsidR="0076365B" w:rsidRPr="0083251D" w:rsidRDefault="0076365B" w:rsidP="00217545">
            <w:bookmarkStart w:id="5" w:name="_Hlk514930313"/>
            <w:r w:rsidRPr="0083251D">
              <w:t>Modtagende Leverandør</w:t>
            </w:r>
          </w:p>
        </w:tc>
        <w:tc>
          <w:tcPr>
            <w:tcW w:w="6633" w:type="dxa"/>
            <w:tcBorders>
              <w:top w:val="single" w:sz="4" w:space="0" w:color="auto"/>
              <w:left w:val="single" w:sz="4" w:space="0" w:color="auto"/>
              <w:bottom w:val="single" w:sz="4" w:space="0" w:color="auto"/>
              <w:right w:val="single" w:sz="4" w:space="0" w:color="auto"/>
            </w:tcBorders>
          </w:tcPr>
          <w:p w14:paraId="67E9C117" w14:textId="19401226" w:rsidR="0076365B" w:rsidRDefault="0076365B" w:rsidP="00217545">
            <w:pPr>
              <w:rPr>
                <w:color w:val="000000"/>
                <w:szCs w:val="22"/>
              </w:rPr>
            </w:pPr>
            <w:r>
              <w:rPr>
                <w:szCs w:val="22"/>
              </w:rPr>
              <w:t>Ved Modtagende Leverandør forstås den nye leverandør, som Leverandøren efter Overdragelsesdagen overdrager ansvaret for levering af Ydelserne til</w:t>
            </w:r>
            <w:r w:rsidR="0029376F">
              <w:rPr>
                <w:szCs w:val="22"/>
              </w:rPr>
              <w:t xml:space="preserve"> samt </w:t>
            </w:r>
            <w:r w:rsidR="00313C7D">
              <w:rPr>
                <w:szCs w:val="22"/>
              </w:rPr>
              <w:t xml:space="preserve">hvor relevant </w:t>
            </w:r>
            <w:r w:rsidR="000A14C8">
              <w:rPr>
                <w:szCs w:val="22"/>
              </w:rPr>
              <w:t xml:space="preserve">forud herfor </w:t>
            </w:r>
            <w:r w:rsidR="0029376F">
              <w:rPr>
                <w:szCs w:val="22"/>
              </w:rPr>
              <w:t>tilbudsgivere, der deltager i en udbudsproces med henblik på at blive valgt som denne nye leverandør</w:t>
            </w:r>
            <w:r>
              <w:rPr>
                <w:szCs w:val="22"/>
              </w:rPr>
              <w:t>.</w:t>
            </w:r>
          </w:p>
        </w:tc>
      </w:tr>
      <w:bookmarkEnd w:id="5"/>
      <w:tr w:rsidR="0076365B" w14:paraId="701A64B8"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3FCFA3A0" w14:textId="7222DD77" w:rsidR="0076365B" w:rsidRPr="0083251D" w:rsidRDefault="0076365B" w:rsidP="00217545">
            <w:r w:rsidRPr="0083251D">
              <w:t>Måleperiode</w:t>
            </w:r>
          </w:p>
        </w:tc>
        <w:tc>
          <w:tcPr>
            <w:tcW w:w="6633" w:type="dxa"/>
            <w:tcBorders>
              <w:top w:val="single" w:sz="4" w:space="0" w:color="auto"/>
              <w:left w:val="single" w:sz="4" w:space="0" w:color="auto"/>
              <w:bottom w:val="single" w:sz="4" w:space="0" w:color="auto"/>
              <w:right w:val="single" w:sz="4" w:space="0" w:color="auto"/>
            </w:tcBorders>
          </w:tcPr>
          <w:p w14:paraId="1BC50340" w14:textId="71F87932" w:rsidR="0076365B" w:rsidRDefault="0076365B" w:rsidP="00217545">
            <w:pPr>
              <w:rPr>
                <w:color w:val="000000"/>
                <w:szCs w:val="22"/>
              </w:rPr>
            </w:pPr>
            <w:r w:rsidRPr="007A7792">
              <w:rPr>
                <w:color w:val="000000"/>
                <w:szCs w:val="22"/>
              </w:rPr>
              <w:t>Ved Måleperiode forstås den periode som angiver et start- samt slutpunkt i forbindelse med opgørelse af Servicemål. En Måleperiode følger, med mindre andet er angivet, en kalendermåned.</w:t>
            </w:r>
          </w:p>
        </w:tc>
      </w:tr>
      <w:tr w:rsidR="0076365B" w14:paraId="5963EF01"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6431E054" w14:textId="6EDC2FE7" w:rsidR="0076365B" w:rsidRPr="0083251D" w:rsidRDefault="0076365B" w:rsidP="00217545">
            <w:r w:rsidRPr="0083251D">
              <w:lastRenderedPageBreak/>
              <w:t>Målepunkt</w:t>
            </w:r>
          </w:p>
        </w:tc>
        <w:tc>
          <w:tcPr>
            <w:tcW w:w="6633" w:type="dxa"/>
            <w:tcBorders>
              <w:top w:val="single" w:sz="4" w:space="0" w:color="auto"/>
              <w:left w:val="single" w:sz="4" w:space="0" w:color="auto"/>
              <w:bottom w:val="single" w:sz="4" w:space="0" w:color="auto"/>
              <w:right w:val="single" w:sz="4" w:space="0" w:color="auto"/>
            </w:tcBorders>
          </w:tcPr>
          <w:p w14:paraId="6877DCF1" w14:textId="1F5443AA" w:rsidR="0076365B" w:rsidRDefault="0076365B" w:rsidP="00217545">
            <w:pPr>
              <w:rPr>
                <w:color w:val="000000"/>
                <w:szCs w:val="22"/>
              </w:rPr>
            </w:pPr>
            <w:r w:rsidRPr="007A7792">
              <w:rPr>
                <w:color w:val="000000"/>
                <w:szCs w:val="22"/>
              </w:rPr>
              <w:t>Ved et Målepunkt forstås en parameter, der i henhold til Kontrakten skal registreres data på</w:t>
            </w:r>
            <w:r>
              <w:rPr>
                <w:color w:val="000000"/>
                <w:szCs w:val="22"/>
              </w:rPr>
              <w:t>, f.eks. i forbindelse med måling af KPI’er og opgørelse af Servicemål</w:t>
            </w:r>
            <w:r w:rsidRPr="007A7792">
              <w:rPr>
                <w:color w:val="000000"/>
                <w:szCs w:val="22"/>
              </w:rPr>
              <w:t>.</w:t>
            </w:r>
          </w:p>
        </w:tc>
      </w:tr>
      <w:tr w:rsidR="0076365B" w14:paraId="494365F4"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8AB5B02" w14:textId="7017A2F8" w:rsidR="0076365B" w:rsidRPr="0083251D" w:rsidRDefault="0076365B" w:rsidP="00217545">
            <w:pPr>
              <w:rPr>
                <w:szCs w:val="23"/>
              </w:rPr>
            </w:pPr>
            <w:r w:rsidRPr="0083251D">
              <w:t>Netværksdrift</w:t>
            </w:r>
          </w:p>
        </w:tc>
        <w:tc>
          <w:tcPr>
            <w:tcW w:w="6633" w:type="dxa"/>
            <w:tcBorders>
              <w:top w:val="single" w:sz="4" w:space="0" w:color="auto"/>
              <w:left w:val="single" w:sz="4" w:space="0" w:color="auto"/>
              <w:bottom w:val="single" w:sz="4" w:space="0" w:color="auto"/>
              <w:right w:val="single" w:sz="4" w:space="0" w:color="auto"/>
            </w:tcBorders>
            <w:hideMark/>
          </w:tcPr>
          <w:p w14:paraId="20CF3C27" w14:textId="64AA9BE7" w:rsidR="0076365B" w:rsidRDefault="0076365B" w:rsidP="00217545">
            <w:pPr>
              <w:rPr>
                <w:color w:val="000000"/>
                <w:szCs w:val="22"/>
              </w:rPr>
            </w:pPr>
            <w:r>
              <w:rPr>
                <w:color w:val="000000"/>
                <w:szCs w:val="22"/>
              </w:rPr>
              <w:t>Ved Netværksdrift forstås de i Kontraktens punkt 24 og Bilag 12.f (Netværksdrift) beskrevne Ydelser.</w:t>
            </w:r>
          </w:p>
        </w:tc>
      </w:tr>
      <w:tr w:rsidR="000A0A14" w14:paraId="4AD7806E"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6D1FDE04" w14:textId="6D4D0189" w:rsidR="000A0A14" w:rsidRPr="0083251D" w:rsidRDefault="000A0A14" w:rsidP="00217545">
            <w:r w:rsidRPr="0083251D">
              <w:t>Nøglemedarbejdere</w:t>
            </w:r>
          </w:p>
        </w:tc>
        <w:tc>
          <w:tcPr>
            <w:tcW w:w="6633" w:type="dxa"/>
            <w:tcBorders>
              <w:top w:val="single" w:sz="4" w:space="0" w:color="auto"/>
              <w:left w:val="single" w:sz="4" w:space="0" w:color="auto"/>
              <w:bottom w:val="single" w:sz="4" w:space="0" w:color="auto"/>
              <w:right w:val="single" w:sz="4" w:space="0" w:color="auto"/>
            </w:tcBorders>
          </w:tcPr>
          <w:p w14:paraId="7A95407A" w14:textId="32050E36" w:rsidR="000A0A14" w:rsidRDefault="000A0A14" w:rsidP="00217545">
            <w:pPr>
              <w:rPr>
                <w:color w:val="000000"/>
                <w:szCs w:val="22"/>
              </w:rPr>
            </w:pPr>
            <w:r>
              <w:rPr>
                <w:color w:val="000000"/>
                <w:szCs w:val="22"/>
              </w:rPr>
              <w:t>Ved Nøglemedarbejdere forstås de i Bilag 4.b</w:t>
            </w:r>
            <w:r w:rsidR="00356521">
              <w:rPr>
                <w:color w:val="000000"/>
                <w:szCs w:val="22"/>
              </w:rPr>
              <w:t xml:space="preserve"> (</w:t>
            </w:r>
            <w:r w:rsidR="00356521">
              <w:t>Allokerede Nøglemedarbejdere</w:t>
            </w:r>
            <w:r w:rsidR="00356521">
              <w:rPr>
                <w:color w:val="000000"/>
                <w:szCs w:val="22"/>
              </w:rPr>
              <w:t>) angivne medarbejdere.</w:t>
            </w:r>
          </w:p>
        </w:tc>
      </w:tr>
      <w:tr w:rsidR="0076365B" w14:paraId="007FA1AF"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51BDD84A" w14:textId="78D10D33" w:rsidR="0076365B" w:rsidRPr="0083251D" w:rsidRDefault="0076365B" w:rsidP="00217545">
            <w:r w:rsidRPr="0083251D">
              <w:t>Operationelle Processer</w:t>
            </w:r>
          </w:p>
        </w:tc>
        <w:tc>
          <w:tcPr>
            <w:tcW w:w="6633" w:type="dxa"/>
            <w:tcBorders>
              <w:top w:val="single" w:sz="4" w:space="0" w:color="auto"/>
              <w:left w:val="single" w:sz="4" w:space="0" w:color="auto"/>
              <w:bottom w:val="single" w:sz="4" w:space="0" w:color="auto"/>
              <w:right w:val="single" w:sz="4" w:space="0" w:color="auto"/>
            </w:tcBorders>
          </w:tcPr>
          <w:p w14:paraId="7B1F72AF" w14:textId="19AA19A3" w:rsidR="0076365B" w:rsidRDefault="0076365B" w:rsidP="00217545">
            <w:pPr>
              <w:rPr>
                <w:color w:val="000000"/>
                <w:szCs w:val="22"/>
              </w:rPr>
            </w:pPr>
            <w:r>
              <w:rPr>
                <w:color w:val="000000"/>
                <w:szCs w:val="22"/>
              </w:rPr>
              <w:t>Ved Operationelle Processer forstås de processer, som er beskrevet i Bilag 4.d (Operationelle Processer)</w:t>
            </w:r>
            <w:r w:rsidR="001258BA">
              <w:rPr>
                <w:color w:val="000000"/>
                <w:szCs w:val="22"/>
              </w:rPr>
              <w:t>, samt de processer og procedurer, som er beskrevet i Bilag 12 (Løbende Ydelser)</w:t>
            </w:r>
            <w:r>
              <w:rPr>
                <w:color w:val="000000"/>
                <w:szCs w:val="22"/>
              </w:rPr>
              <w:t>.</w:t>
            </w:r>
          </w:p>
        </w:tc>
      </w:tr>
      <w:tr w:rsidR="0076365B" w14:paraId="4FE5B08D"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9AB2DEA" w14:textId="77777777" w:rsidR="0076365B" w:rsidRPr="0083251D" w:rsidRDefault="0076365B" w:rsidP="00217545">
            <w:pPr>
              <w:rPr>
                <w:szCs w:val="23"/>
              </w:rPr>
            </w:pPr>
            <w:r w:rsidRPr="0083251D">
              <w:t>Operationelle Tilpasninger</w:t>
            </w:r>
          </w:p>
        </w:tc>
        <w:tc>
          <w:tcPr>
            <w:tcW w:w="6633" w:type="dxa"/>
            <w:tcBorders>
              <w:top w:val="single" w:sz="4" w:space="0" w:color="auto"/>
              <w:left w:val="single" w:sz="4" w:space="0" w:color="auto"/>
              <w:bottom w:val="single" w:sz="4" w:space="0" w:color="auto"/>
              <w:right w:val="single" w:sz="4" w:space="0" w:color="auto"/>
            </w:tcBorders>
            <w:hideMark/>
          </w:tcPr>
          <w:p w14:paraId="770D2F8A" w14:textId="4A050B01" w:rsidR="0076365B" w:rsidRDefault="0076365B" w:rsidP="00217545">
            <w:pPr>
              <w:rPr>
                <w:szCs w:val="22"/>
              </w:rPr>
            </w:pPr>
            <w:bookmarkStart w:id="6" w:name="_Hlk498453068"/>
            <w:r>
              <w:rPr>
                <w:szCs w:val="22"/>
              </w:rPr>
              <w:t>Ved Operationelle Tilpasninger forstås tilpasninger af de Løbende Ydelser og/eller Systemet, som er beskrevet i Ydelsesbeskrivelsen, og som ikke udgør Bestillingsydelser eller Kontraktuelle Ændringer. Operationelle Tilpasninger kan eksempelvis bestå i at skalere en given Ydelse for at kunne opfylde Servicemålene, patche Programmel, udskifte hardware eller lignende, i det omfang det er kravspecificeret i Ydelsesbeskrivelsen</w:t>
            </w:r>
            <w:r w:rsidR="00AE66D1">
              <w:rPr>
                <w:szCs w:val="22"/>
              </w:rPr>
              <w:t xml:space="preserve"> og vederlægges som en op- eller nedskalering af vederlaget i henhold til Kontraktens punkt 37.3.7</w:t>
            </w:r>
            <w:r>
              <w:rPr>
                <w:szCs w:val="22"/>
              </w:rPr>
              <w:t>.</w:t>
            </w:r>
            <w:bookmarkEnd w:id="6"/>
          </w:p>
        </w:tc>
      </w:tr>
      <w:tr w:rsidR="0076365B" w14:paraId="52176EC0"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9B2EEF5" w14:textId="77777777" w:rsidR="0076365B" w:rsidRPr="0083251D" w:rsidRDefault="0076365B" w:rsidP="00217545">
            <w:pPr>
              <w:rPr>
                <w:szCs w:val="23"/>
              </w:rPr>
            </w:pPr>
            <w:r w:rsidRPr="0083251D">
              <w:t>Option</w:t>
            </w:r>
          </w:p>
        </w:tc>
        <w:tc>
          <w:tcPr>
            <w:tcW w:w="6633" w:type="dxa"/>
            <w:tcBorders>
              <w:top w:val="single" w:sz="4" w:space="0" w:color="auto"/>
              <w:left w:val="single" w:sz="4" w:space="0" w:color="auto"/>
              <w:bottom w:val="single" w:sz="4" w:space="0" w:color="auto"/>
              <w:right w:val="single" w:sz="4" w:space="0" w:color="auto"/>
            </w:tcBorders>
            <w:hideMark/>
          </w:tcPr>
          <w:p w14:paraId="20860FC3" w14:textId="3F35D6F4" w:rsidR="0076365B" w:rsidRDefault="0076365B" w:rsidP="00217545">
            <w:pPr>
              <w:rPr>
                <w:szCs w:val="22"/>
              </w:rPr>
            </w:pPr>
            <w:r>
              <w:rPr>
                <w:szCs w:val="22"/>
              </w:rPr>
              <w:t>Ved Option forstås en ret for Kunden til, på de i Kontrakten fastsatte priser og øvrige vilkår, at kræve opfyldelse af yderligere krav end de i Ydelsesbeskrivelsen anførte krav. De i Bilag 17.a (Optioner) beskrevne Optioner bestilles til levering som en Bestillingsydelse, jf. Bilag 17.a (Optioner).</w:t>
            </w:r>
          </w:p>
        </w:tc>
      </w:tr>
      <w:tr w:rsidR="0076365B" w14:paraId="5B69E11A"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615DF4A2" w14:textId="2B11AE10" w:rsidR="0076365B" w:rsidRPr="0083251D" w:rsidRDefault="0076365B" w:rsidP="00217545">
            <w:r w:rsidRPr="0083251D">
              <w:t>Overdragelsesdag</w:t>
            </w:r>
          </w:p>
        </w:tc>
        <w:tc>
          <w:tcPr>
            <w:tcW w:w="6633" w:type="dxa"/>
            <w:tcBorders>
              <w:top w:val="single" w:sz="4" w:space="0" w:color="auto"/>
              <w:left w:val="single" w:sz="4" w:space="0" w:color="auto"/>
              <w:bottom w:val="single" w:sz="4" w:space="0" w:color="auto"/>
              <w:right w:val="single" w:sz="4" w:space="0" w:color="auto"/>
            </w:tcBorders>
          </w:tcPr>
          <w:p w14:paraId="6C7EE6D1" w14:textId="1D1E1751" w:rsidR="0076365B" w:rsidRDefault="0076365B" w:rsidP="00217545">
            <w:pPr>
              <w:rPr>
                <w:szCs w:val="22"/>
              </w:rPr>
            </w:pPr>
            <w:r>
              <w:rPr>
                <w:szCs w:val="22"/>
              </w:rPr>
              <w:t xml:space="preserve">Ved Overdragelsesdagen forstås den dag, hvor Kunden skriftligt godkender, at Leverandøren har overdraget Kontraktens Ydelser til en modtagende leverandør. </w:t>
            </w:r>
          </w:p>
        </w:tc>
      </w:tr>
      <w:tr w:rsidR="0076365B" w14:paraId="3644E9F4"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68009D74" w14:textId="77777777" w:rsidR="0076365B" w:rsidRPr="0083251D" w:rsidRDefault="0076365B" w:rsidP="00217545">
            <w:pPr>
              <w:rPr>
                <w:szCs w:val="23"/>
              </w:rPr>
            </w:pPr>
            <w:r w:rsidRPr="0083251D">
              <w:t>Overtagelsesdag</w:t>
            </w:r>
          </w:p>
        </w:tc>
        <w:tc>
          <w:tcPr>
            <w:tcW w:w="6633" w:type="dxa"/>
            <w:tcBorders>
              <w:top w:val="single" w:sz="4" w:space="0" w:color="auto"/>
              <w:left w:val="single" w:sz="4" w:space="0" w:color="auto"/>
              <w:bottom w:val="single" w:sz="4" w:space="0" w:color="auto"/>
              <w:right w:val="single" w:sz="4" w:space="0" w:color="auto"/>
            </w:tcBorders>
            <w:hideMark/>
          </w:tcPr>
          <w:p w14:paraId="7AA565F2" w14:textId="29074698" w:rsidR="0076365B" w:rsidRDefault="0076365B" w:rsidP="00217545">
            <w:pPr>
              <w:rPr>
                <w:szCs w:val="22"/>
              </w:rPr>
            </w:pPr>
            <w:r>
              <w:rPr>
                <w:szCs w:val="22"/>
              </w:rPr>
              <w:t>Ved Overtagelsesdag forstås d</w:t>
            </w:r>
            <w:r w:rsidRPr="00AB3B72">
              <w:rPr>
                <w:szCs w:val="22"/>
              </w:rPr>
              <w:t>en dag</w:t>
            </w:r>
            <w:r>
              <w:rPr>
                <w:szCs w:val="22"/>
              </w:rPr>
              <w:t>,</w:t>
            </w:r>
            <w:r w:rsidRPr="00AB3B72">
              <w:rPr>
                <w:szCs w:val="22"/>
              </w:rPr>
              <w:t xml:space="preserve"> hvor </w:t>
            </w:r>
            <w:r>
              <w:t xml:space="preserve">Kunden ved Meddelelse over for Leverandøren tilkendegiver at godkendelseskriterierne for </w:t>
            </w:r>
            <w:r>
              <w:rPr>
                <w:szCs w:val="22"/>
              </w:rPr>
              <w:t>en Bestillingsydelse som anført i Bilag 17 (Bestilling af Bestillingsydelser) er opfyldt</w:t>
            </w:r>
            <w:r w:rsidRPr="00AA5306">
              <w:rPr>
                <w:szCs w:val="22"/>
              </w:rPr>
              <w:t>.</w:t>
            </w:r>
          </w:p>
        </w:tc>
      </w:tr>
      <w:tr w:rsidR="0076365B" w14:paraId="25E19AC2"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CD004FE" w14:textId="77777777" w:rsidR="0076365B" w:rsidRPr="0083251D" w:rsidRDefault="0076365B" w:rsidP="00217545">
            <w:pPr>
              <w:rPr>
                <w:szCs w:val="23"/>
              </w:rPr>
            </w:pPr>
            <w:r w:rsidRPr="0083251D">
              <w:t>Parterne</w:t>
            </w:r>
          </w:p>
        </w:tc>
        <w:tc>
          <w:tcPr>
            <w:tcW w:w="6633" w:type="dxa"/>
            <w:tcBorders>
              <w:top w:val="single" w:sz="4" w:space="0" w:color="auto"/>
              <w:left w:val="single" w:sz="4" w:space="0" w:color="auto"/>
              <w:bottom w:val="single" w:sz="4" w:space="0" w:color="auto"/>
              <w:right w:val="single" w:sz="4" w:space="0" w:color="auto"/>
            </w:tcBorders>
            <w:hideMark/>
          </w:tcPr>
          <w:p w14:paraId="235C4577" w14:textId="77777777" w:rsidR="0076365B" w:rsidRDefault="0076365B" w:rsidP="00217545">
            <w:pPr>
              <w:rPr>
                <w:color w:val="000000"/>
                <w:szCs w:val="22"/>
              </w:rPr>
            </w:pPr>
            <w:r>
              <w:rPr>
                <w:color w:val="000000"/>
                <w:szCs w:val="22"/>
              </w:rPr>
              <w:t>Ved Parterne forstås Kunden og Leverandøren og ved Part en af disse.</w:t>
            </w:r>
          </w:p>
        </w:tc>
      </w:tr>
      <w:tr w:rsidR="0076365B" w14:paraId="2E0606FA"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5AFAC49D" w14:textId="77777777" w:rsidR="0076365B" w:rsidRPr="0083251D" w:rsidRDefault="0076365B" w:rsidP="00217545">
            <w:pPr>
              <w:rPr>
                <w:szCs w:val="23"/>
              </w:rPr>
            </w:pPr>
            <w:r w:rsidRPr="0083251D">
              <w:t>Problem</w:t>
            </w:r>
          </w:p>
        </w:tc>
        <w:tc>
          <w:tcPr>
            <w:tcW w:w="6633" w:type="dxa"/>
            <w:tcBorders>
              <w:top w:val="single" w:sz="4" w:space="0" w:color="auto"/>
              <w:left w:val="single" w:sz="4" w:space="0" w:color="auto"/>
              <w:bottom w:val="single" w:sz="4" w:space="0" w:color="auto"/>
              <w:right w:val="single" w:sz="4" w:space="0" w:color="auto"/>
            </w:tcBorders>
            <w:hideMark/>
          </w:tcPr>
          <w:p w14:paraId="6155A774" w14:textId="77777777" w:rsidR="0076365B" w:rsidRDefault="0076365B" w:rsidP="00217545">
            <w:pPr>
              <w:rPr>
                <w:color w:val="000000"/>
                <w:szCs w:val="22"/>
              </w:rPr>
            </w:pPr>
            <w:r>
              <w:rPr>
                <w:color w:val="000000"/>
                <w:szCs w:val="22"/>
              </w:rPr>
              <w:t>Ved et Problem forstås en endnu ukendt underliggende årsag til en eller flere Incidents.</w:t>
            </w:r>
          </w:p>
        </w:tc>
      </w:tr>
      <w:tr w:rsidR="0076365B" w14:paraId="085FA1EF"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4D1F5F8A" w14:textId="3D146428" w:rsidR="0076365B" w:rsidRPr="0083251D" w:rsidRDefault="0076365B" w:rsidP="00217545">
            <w:r w:rsidRPr="0083251D">
              <w:lastRenderedPageBreak/>
              <w:t>Produktionsmiljø</w:t>
            </w:r>
          </w:p>
        </w:tc>
        <w:tc>
          <w:tcPr>
            <w:tcW w:w="6633" w:type="dxa"/>
            <w:tcBorders>
              <w:top w:val="single" w:sz="4" w:space="0" w:color="auto"/>
              <w:left w:val="single" w:sz="4" w:space="0" w:color="auto"/>
              <w:bottom w:val="single" w:sz="4" w:space="0" w:color="auto"/>
              <w:right w:val="single" w:sz="4" w:space="0" w:color="auto"/>
            </w:tcBorders>
          </w:tcPr>
          <w:p w14:paraId="47A10C3F" w14:textId="422D3A11" w:rsidR="0076365B" w:rsidRDefault="0076365B" w:rsidP="00217545">
            <w:pPr>
              <w:rPr>
                <w:color w:val="000000"/>
                <w:szCs w:val="22"/>
              </w:rPr>
            </w:pPr>
            <w:r w:rsidRPr="009C112F">
              <w:rPr>
                <w:szCs w:val="22"/>
              </w:rPr>
              <w:t>Ved Produktionsmiljø forstås det Miljø, som Brugere anvender i deres daglige arbejde. Miljøet indeholder produktionsdata.</w:t>
            </w:r>
          </w:p>
        </w:tc>
      </w:tr>
      <w:tr w:rsidR="0076365B" w14:paraId="7DE99D15"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84665A2" w14:textId="77777777" w:rsidR="0076365B" w:rsidRPr="0083251D" w:rsidRDefault="0076365B" w:rsidP="00217545">
            <w:pPr>
              <w:rPr>
                <w:szCs w:val="23"/>
              </w:rPr>
            </w:pPr>
            <w:r w:rsidRPr="0083251D">
              <w:t>Programmel</w:t>
            </w:r>
          </w:p>
        </w:tc>
        <w:tc>
          <w:tcPr>
            <w:tcW w:w="6633" w:type="dxa"/>
            <w:tcBorders>
              <w:top w:val="single" w:sz="4" w:space="0" w:color="auto"/>
              <w:left w:val="single" w:sz="4" w:space="0" w:color="auto"/>
              <w:bottom w:val="single" w:sz="4" w:space="0" w:color="auto"/>
              <w:right w:val="single" w:sz="4" w:space="0" w:color="auto"/>
            </w:tcBorders>
            <w:hideMark/>
          </w:tcPr>
          <w:p w14:paraId="7FB5D642" w14:textId="605DFDF1" w:rsidR="0076365B" w:rsidRDefault="0076365B" w:rsidP="00217545">
            <w:pPr>
              <w:rPr>
                <w:color w:val="000000"/>
                <w:szCs w:val="22"/>
              </w:rPr>
            </w:pPr>
            <w:r>
              <w:rPr>
                <w:color w:val="000000"/>
                <w:szCs w:val="22"/>
              </w:rPr>
              <w:t>Ved Programmel forstås</w:t>
            </w:r>
            <w:r w:rsidRPr="00333E54">
              <w:rPr>
                <w:szCs w:val="22"/>
              </w:rPr>
              <w:t xml:space="preserve"> </w:t>
            </w:r>
            <w:r>
              <w:rPr>
                <w:szCs w:val="22"/>
              </w:rPr>
              <w:t xml:space="preserve">maskinkode, kildekode, </w:t>
            </w:r>
            <w:r w:rsidRPr="00333E54">
              <w:rPr>
                <w:szCs w:val="22"/>
              </w:rPr>
              <w:t xml:space="preserve">funktionalitet, brugergrænseflade </w:t>
            </w:r>
            <w:r>
              <w:rPr>
                <w:szCs w:val="22"/>
              </w:rPr>
              <w:t xml:space="preserve">samt integrationer. Programmel </w:t>
            </w:r>
            <w:r>
              <w:rPr>
                <w:color w:val="000000"/>
                <w:szCs w:val="22"/>
              </w:rPr>
              <w:t xml:space="preserve">består af Kundespecifikt Programmel, Leverandørspecifikt Programmel og/eller Standardprogrammel. </w:t>
            </w:r>
          </w:p>
        </w:tc>
      </w:tr>
      <w:tr w:rsidR="0076365B" w14:paraId="7E27FE0B"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33CB7A64" w14:textId="0CE136CD" w:rsidR="0076365B" w:rsidRPr="0083251D" w:rsidRDefault="0076365B" w:rsidP="00217545">
            <w:r w:rsidRPr="0083251D">
              <w:t>Præproduktionsmiljø</w:t>
            </w:r>
          </w:p>
        </w:tc>
        <w:tc>
          <w:tcPr>
            <w:tcW w:w="6633" w:type="dxa"/>
            <w:tcBorders>
              <w:top w:val="single" w:sz="4" w:space="0" w:color="auto"/>
              <w:left w:val="single" w:sz="4" w:space="0" w:color="auto"/>
              <w:bottom w:val="single" w:sz="4" w:space="0" w:color="auto"/>
              <w:right w:val="single" w:sz="4" w:space="0" w:color="auto"/>
            </w:tcBorders>
          </w:tcPr>
          <w:p w14:paraId="20231D4E" w14:textId="3C3D99B1" w:rsidR="0076365B" w:rsidRDefault="0076365B" w:rsidP="00217545">
            <w:pPr>
              <w:rPr>
                <w:color w:val="000000"/>
                <w:szCs w:val="22"/>
              </w:rPr>
            </w:pPr>
            <w:r>
              <w:rPr>
                <w:szCs w:val="22"/>
              </w:rPr>
              <w:t xml:space="preserve">Ved Præproduktionsmiljø forstås det Miljø, </w:t>
            </w:r>
            <w:r w:rsidRPr="00AA286A">
              <w:rPr>
                <w:szCs w:val="22"/>
              </w:rPr>
              <w:t xml:space="preserve">som anvendes til afsluttende test af </w:t>
            </w:r>
            <w:r>
              <w:rPr>
                <w:szCs w:val="22"/>
              </w:rPr>
              <w:t>æ</w:t>
            </w:r>
            <w:r w:rsidRPr="00AA286A">
              <w:rPr>
                <w:szCs w:val="22"/>
              </w:rPr>
              <w:t xml:space="preserve">ndringer </w:t>
            </w:r>
            <w:r>
              <w:rPr>
                <w:szCs w:val="22"/>
              </w:rPr>
              <w:t>af Systemet</w:t>
            </w:r>
            <w:r w:rsidRPr="00AA286A">
              <w:rPr>
                <w:szCs w:val="22"/>
              </w:rPr>
              <w:t>.</w:t>
            </w:r>
          </w:p>
        </w:tc>
      </w:tr>
      <w:tr w:rsidR="0076365B" w14:paraId="345F5279"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63C1941" w14:textId="77777777" w:rsidR="0076365B" w:rsidRPr="0083251D" w:rsidRDefault="0076365B" w:rsidP="00217545">
            <w:pPr>
              <w:rPr>
                <w:szCs w:val="23"/>
              </w:rPr>
            </w:pPr>
            <w:r w:rsidRPr="0083251D">
              <w:t xml:space="preserve">Release </w:t>
            </w:r>
          </w:p>
        </w:tc>
        <w:tc>
          <w:tcPr>
            <w:tcW w:w="6633" w:type="dxa"/>
            <w:tcBorders>
              <w:top w:val="single" w:sz="4" w:space="0" w:color="auto"/>
              <w:left w:val="single" w:sz="4" w:space="0" w:color="auto"/>
              <w:bottom w:val="single" w:sz="4" w:space="0" w:color="auto"/>
              <w:right w:val="single" w:sz="4" w:space="0" w:color="auto"/>
            </w:tcBorders>
            <w:hideMark/>
          </w:tcPr>
          <w:p w14:paraId="4AA1985F" w14:textId="641276F7" w:rsidR="0076365B" w:rsidRDefault="0076365B" w:rsidP="00217545">
            <w:pPr>
              <w:rPr>
                <w:color w:val="000000"/>
                <w:szCs w:val="22"/>
              </w:rPr>
            </w:pPr>
            <w:r>
              <w:rPr>
                <w:color w:val="000000"/>
                <w:szCs w:val="22"/>
              </w:rPr>
              <w:t>Ved Release forstås en mindre opdatering af Programmel, herunder fejlrettelser. Almindeligvis kendetegnet ved, at identifikations</w:t>
            </w:r>
            <w:r w:rsidR="008A340D">
              <w:rPr>
                <w:color w:val="000000"/>
                <w:szCs w:val="22"/>
              </w:rPr>
              <w:t>-</w:t>
            </w:r>
            <w:r>
              <w:rPr>
                <w:color w:val="000000"/>
                <w:szCs w:val="22"/>
              </w:rPr>
              <w:t>nummeret for Programmellet ændres med en decimal (f.eks. fra 5.0 til 5.1).</w:t>
            </w:r>
          </w:p>
        </w:tc>
      </w:tr>
      <w:tr w:rsidR="0076365B" w14:paraId="0149FB2B"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23A35308" w14:textId="732DF719" w:rsidR="0076365B" w:rsidRPr="0083251D" w:rsidRDefault="0076365B" w:rsidP="00217545">
            <w:r w:rsidRPr="0083251D">
              <w:t>Seniorkonsulent</w:t>
            </w:r>
          </w:p>
        </w:tc>
        <w:tc>
          <w:tcPr>
            <w:tcW w:w="6633" w:type="dxa"/>
            <w:tcBorders>
              <w:top w:val="single" w:sz="4" w:space="0" w:color="auto"/>
              <w:left w:val="single" w:sz="4" w:space="0" w:color="auto"/>
              <w:bottom w:val="single" w:sz="4" w:space="0" w:color="auto"/>
              <w:right w:val="single" w:sz="4" w:space="0" w:color="auto"/>
            </w:tcBorders>
          </w:tcPr>
          <w:p w14:paraId="4BB531F2" w14:textId="2F6E38DC" w:rsidR="0076365B" w:rsidRDefault="0076365B" w:rsidP="00217545">
            <w:pPr>
              <w:rPr>
                <w:color w:val="000000"/>
                <w:szCs w:val="22"/>
              </w:rPr>
            </w:pPr>
            <w:r>
              <w:rPr>
                <w:color w:val="000000"/>
                <w:szCs w:val="22"/>
              </w:rPr>
              <w:t>Ved Seniorkonsulent forstås den i bilag 12.g (Konsulentydelser) definerede konsulentkategori.</w:t>
            </w:r>
          </w:p>
        </w:tc>
      </w:tr>
      <w:tr w:rsidR="0076365B" w14:paraId="1A521F94"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03371713" w14:textId="2115FC72" w:rsidR="0076365B" w:rsidRPr="0083251D" w:rsidRDefault="0076365B" w:rsidP="00217545">
            <w:r w:rsidRPr="0083251D">
              <w:t>Service Desk</w:t>
            </w:r>
          </w:p>
        </w:tc>
        <w:tc>
          <w:tcPr>
            <w:tcW w:w="6633" w:type="dxa"/>
            <w:tcBorders>
              <w:top w:val="single" w:sz="4" w:space="0" w:color="auto"/>
              <w:left w:val="single" w:sz="4" w:space="0" w:color="auto"/>
              <w:bottom w:val="single" w:sz="4" w:space="0" w:color="auto"/>
              <w:right w:val="single" w:sz="4" w:space="0" w:color="auto"/>
            </w:tcBorders>
          </w:tcPr>
          <w:p w14:paraId="737CEB0C" w14:textId="1A41C9C7" w:rsidR="0076365B" w:rsidRDefault="0076365B" w:rsidP="00217545">
            <w:r w:rsidRPr="007A7792">
              <w:rPr>
                <w:color w:val="000000"/>
                <w:szCs w:val="22"/>
              </w:rPr>
              <w:t>Ved Service Desk forstås det primære henvendelsessted for Brugere i forbindelse med support på Systemet.</w:t>
            </w:r>
          </w:p>
        </w:tc>
      </w:tr>
      <w:tr w:rsidR="0076365B" w14:paraId="0F77C179"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47EBBD41" w14:textId="77777777" w:rsidR="0076365B" w:rsidRPr="0083251D" w:rsidRDefault="0076365B" w:rsidP="00217545">
            <w:pPr>
              <w:rPr>
                <w:szCs w:val="23"/>
              </w:rPr>
            </w:pPr>
            <w:r w:rsidRPr="0083251D">
              <w:t>Servicemål</w:t>
            </w:r>
          </w:p>
        </w:tc>
        <w:tc>
          <w:tcPr>
            <w:tcW w:w="6633" w:type="dxa"/>
            <w:tcBorders>
              <w:top w:val="single" w:sz="4" w:space="0" w:color="auto"/>
              <w:left w:val="single" w:sz="4" w:space="0" w:color="auto"/>
              <w:bottom w:val="single" w:sz="4" w:space="0" w:color="auto"/>
              <w:right w:val="single" w:sz="4" w:space="0" w:color="auto"/>
            </w:tcBorders>
            <w:hideMark/>
          </w:tcPr>
          <w:p w14:paraId="52D34E82" w14:textId="0F8429FB" w:rsidR="0076365B" w:rsidRDefault="0076365B" w:rsidP="00217545">
            <w:r>
              <w:t xml:space="preserve">Ved Servicemål forstås en angivelse af et bestemt kvalitetsniveau for en given Ydelse under Kontrakten. Servicemålene er specificeret i Bilag 8 (Servicemål). </w:t>
            </w:r>
          </w:p>
        </w:tc>
      </w:tr>
      <w:tr w:rsidR="0076365B" w14:paraId="0A6D3E5C"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5DFF4A62" w14:textId="1C5AC059" w:rsidR="0076365B" w:rsidRPr="0083251D" w:rsidRDefault="0076365B" w:rsidP="00217545">
            <w:r w:rsidRPr="0083251D">
              <w:t>Slutbrugere</w:t>
            </w:r>
          </w:p>
        </w:tc>
        <w:tc>
          <w:tcPr>
            <w:tcW w:w="6633" w:type="dxa"/>
            <w:tcBorders>
              <w:top w:val="single" w:sz="4" w:space="0" w:color="auto"/>
              <w:left w:val="single" w:sz="4" w:space="0" w:color="auto"/>
              <w:bottom w:val="single" w:sz="4" w:space="0" w:color="auto"/>
              <w:right w:val="single" w:sz="4" w:space="0" w:color="auto"/>
            </w:tcBorders>
          </w:tcPr>
          <w:p w14:paraId="25D57EC6" w14:textId="28D2B5A3" w:rsidR="0076365B" w:rsidRDefault="0076365B" w:rsidP="00217545">
            <w:bookmarkStart w:id="7" w:name="_Hlk506798859"/>
            <w:r>
              <w:t>Kundens medarbejdere, der i deres funktion i Kundens organisation benytter Leverandørens Ydelser</w:t>
            </w:r>
            <w:bookmarkEnd w:id="7"/>
          </w:p>
        </w:tc>
      </w:tr>
      <w:tr w:rsidR="0076365B" w14:paraId="27566847"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045F62F" w14:textId="77777777" w:rsidR="0076365B" w:rsidRPr="0083251D" w:rsidRDefault="0076365B" w:rsidP="00217545">
            <w:r w:rsidRPr="0083251D">
              <w:t>Standardbestillingsydelser</w:t>
            </w:r>
          </w:p>
        </w:tc>
        <w:tc>
          <w:tcPr>
            <w:tcW w:w="6633" w:type="dxa"/>
            <w:tcBorders>
              <w:top w:val="single" w:sz="4" w:space="0" w:color="auto"/>
              <w:left w:val="single" w:sz="4" w:space="0" w:color="auto"/>
              <w:bottom w:val="single" w:sz="4" w:space="0" w:color="auto"/>
              <w:right w:val="single" w:sz="4" w:space="0" w:color="auto"/>
            </w:tcBorders>
          </w:tcPr>
          <w:p w14:paraId="464D8790" w14:textId="5DFD938D" w:rsidR="0076365B" w:rsidRDefault="0076365B" w:rsidP="00217545">
            <w:r>
              <w:t>Ved Standardbestillingsydelser forstås en Ydelse, der er beskrevet i Kontraktens punkt 27 og/eller Bilag 12.h (Standard</w:t>
            </w:r>
            <w:r w:rsidR="008A340D">
              <w:t>-</w:t>
            </w:r>
            <w:r>
              <w:t>bestillingsydelser).</w:t>
            </w:r>
          </w:p>
        </w:tc>
      </w:tr>
      <w:tr w:rsidR="0076365B" w14:paraId="5111EAEF"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8EB23FD" w14:textId="77777777" w:rsidR="0076365B" w:rsidRPr="0083251D" w:rsidRDefault="0076365B" w:rsidP="00217545">
            <w:r w:rsidRPr="0083251D">
              <w:t>Standardprogrammel</w:t>
            </w:r>
          </w:p>
        </w:tc>
        <w:tc>
          <w:tcPr>
            <w:tcW w:w="6633" w:type="dxa"/>
            <w:tcBorders>
              <w:top w:val="single" w:sz="4" w:space="0" w:color="auto"/>
              <w:left w:val="single" w:sz="4" w:space="0" w:color="auto"/>
              <w:bottom w:val="single" w:sz="4" w:space="0" w:color="auto"/>
              <w:right w:val="single" w:sz="4" w:space="0" w:color="auto"/>
            </w:tcBorders>
            <w:hideMark/>
          </w:tcPr>
          <w:p w14:paraId="2FD08398" w14:textId="324F9A69" w:rsidR="0076365B" w:rsidRPr="00541FBA" w:rsidRDefault="0076365B" w:rsidP="00217545">
            <w:pPr>
              <w:rPr>
                <w:color w:val="000000"/>
                <w:szCs w:val="22"/>
              </w:rPr>
            </w:pPr>
            <w:r w:rsidRPr="006E01FE">
              <w:rPr>
                <w:color w:val="000000"/>
              </w:rPr>
              <w:t xml:space="preserve">Ved Standardprogrammel forstås Programmel, der </w:t>
            </w:r>
            <w:r w:rsidRPr="00541FBA">
              <w:rPr>
                <w:color w:val="000000"/>
                <w:szCs w:val="22"/>
              </w:rPr>
              <w:t xml:space="preserve"> </w:t>
            </w:r>
          </w:p>
          <w:p w14:paraId="6D551A29" w14:textId="5BA35BE1" w:rsidR="0076365B" w:rsidRPr="006E01FE" w:rsidRDefault="0076365B" w:rsidP="00217545">
            <w:pPr>
              <w:rPr>
                <w:color w:val="000000"/>
              </w:rPr>
            </w:pPr>
            <w:r w:rsidRPr="006E01FE">
              <w:rPr>
                <w:color w:val="000000"/>
              </w:rPr>
              <w:t xml:space="preserve">ikke </w:t>
            </w:r>
            <w:r>
              <w:rPr>
                <w:color w:val="000000"/>
                <w:szCs w:val="22"/>
              </w:rPr>
              <w:t xml:space="preserve">udelukkende </w:t>
            </w:r>
            <w:r w:rsidRPr="006E01FE">
              <w:rPr>
                <w:color w:val="000000"/>
              </w:rPr>
              <w:t>er udviklet specielt til Kunden, og</w:t>
            </w:r>
          </w:p>
          <w:p w14:paraId="5692995A" w14:textId="7BF3BE5D" w:rsidR="0076365B" w:rsidRDefault="0076365B" w:rsidP="00217545">
            <w:r w:rsidRPr="006E01FE">
              <w:rPr>
                <w:color w:val="000000"/>
              </w:rPr>
              <w:t>er tilgængeligt for enhver på lige og almindelige vilkår</w:t>
            </w:r>
            <w:r>
              <w:rPr>
                <w:color w:val="000000"/>
                <w:szCs w:val="22"/>
              </w:rPr>
              <w:t>.</w:t>
            </w:r>
          </w:p>
        </w:tc>
      </w:tr>
      <w:tr w:rsidR="0076365B" w14:paraId="5F125BA7"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76EB97A" w14:textId="77777777" w:rsidR="0076365B" w:rsidRPr="0083251D" w:rsidRDefault="0076365B" w:rsidP="00217545">
            <w:r w:rsidRPr="0083251D">
              <w:t>Support</w:t>
            </w:r>
          </w:p>
        </w:tc>
        <w:tc>
          <w:tcPr>
            <w:tcW w:w="6633" w:type="dxa"/>
            <w:tcBorders>
              <w:top w:val="single" w:sz="4" w:space="0" w:color="auto"/>
              <w:left w:val="single" w:sz="4" w:space="0" w:color="auto"/>
              <w:bottom w:val="single" w:sz="4" w:space="0" w:color="auto"/>
              <w:right w:val="single" w:sz="4" w:space="0" w:color="auto"/>
            </w:tcBorders>
            <w:hideMark/>
          </w:tcPr>
          <w:p w14:paraId="2DCE5151" w14:textId="037AA12C" w:rsidR="0076365B" w:rsidRDefault="0076365B" w:rsidP="00217545">
            <w:r>
              <w:rPr>
                <w:color w:val="000000"/>
                <w:szCs w:val="22"/>
              </w:rPr>
              <w:t>Ved Support forstås de i Kontraktens punkt 20 og Bilag 12.b (Support) beskrevne Ydelser.</w:t>
            </w:r>
          </w:p>
        </w:tc>
      </w:tr>
      <w:tr w:rsidR="0076365B" w14:paraId="651A5F42" w14:textId="77777777" w:rsidTr="0083251D">
        <w:trPr>
          <w:cantSplit/>
          <w:trHeight w:val="377"/>
        </w:trPr>
        <w:tc>
          <w:tcPr>
            <w:tcW w:w="2689" w:type="dxa"/>
            <w:tcBorders>
              <w:top w:val="single" w:sz="4" w:space="0" w:color="auto"/>
              <w:left w:val="single" w:sz="4" w:space="0" w:color="auto"/>
              <w:bottom w:val="single" w:sz="4" w:space="0" w:color="auto"/>
              <w:right w:val="single" w:sz="4" w:space="0" w:color="auto"/>
            </w:tcBorders>
            <w:hideMark/>
          </w:tcPr>
          <w:p w14:paraId="5E52FD98" w14:textId="77777777" w:rsidR="0076365B" w:rsidRPr="0083251D" w:rsidRDefault="0076365B" w:rsidP="00217545">
            <w:r w:rsidRPr="0083251D">
              <w:t>Systemet</w:t>
            </w:r>
          </w:p>
        </w:tc>
        <w:tc>
          <w:tcPr>
            <w:tcW w:w="6633" w:type="dxa"/>
            <w:tcBorders>
              <w:top w:val="single" w:sz="4" w:space="0" w:color="auto"/>
              <w:left w:val="single" w:sz="4" w:space="0" w:color="auto"/>
              <w:bottom w:val="single" w:sz="4" w:space="0" w:color="auto"/>
              <w:right w:val="single" w:sz="4" w:space="0" w:color="auto"/>
            </w:tcBorders>
            <w:hideMark/>
          </w:tcPr>
          <w:p w14:paraId="0CB78FC4" w14:textId="2356C2EF" w:rsidR="0076365B" w:rsidRPr="00D41015" w:rsidRDefault="0076365B" w:rsidP="00217545">
            <w:pPr>
              <w:rPr>
                <w:szCs w:val="22"/>
              </w:rPr>
            </w:pPr>
            <w:r w:rsidRPr="00AB3B72">
              <w:rPr>
                <w:color w:val="000000"/>
                <w:szCs w:val="22"/>
              </w:rPr>
              <w:t xml:space="preserve">Ved </w:t>
            </w:r>
            <w:r w:rsidRPr="00AA253A">
              <w:rPr>
                <w:szCs w:val="22"/>
              </w:rPr>
              <w:t>Systemet</w:t>
            </w:r>
            <w:r w:rsidRPr="00AB3B72">
              <w:rPr>
                <w:color w:val="000000"/>
                <w:szCs w:val="22"/>
              </w:rPr>
              <w:t xml:space="preserve"> forstås </w:t>
            </w:r>
            <w:r>
              <w:rPr>
                <w:color w:val="000000"/>
                <w:szCs w:val="22"/>
              </w:rPr>
              <w:t>I</w:t>
            </w:r>
            <w:r w:rsidRPr="00AB3B72">
              <w:rPr>
                <w:color w:val="000000"/>
                <w:szCs w:val="22"/>
              </w:rPr>
              <w:t>nfrastrukturen</w:t>
            </w:r>
            <w:r>
              <w:rPr>
                <w:color w:val="000000"/>
                <w:szCs w:val="22"/>
              </w:rPr>
              <w:t xml:space="preserve"> og Applikationen/</w:t>
            </w:r>
            <w:r w:rsidR="008A340D">
              <w:rPr>
                <w:color w:val="000000"/>
                <w:szCs w:val="22"/>
              </w:rPr>
              <w:t xml:space="preserve"> </w:t>
            </w:r>
            <w:r>
              <w:rPr>
                <w:color w:val="000000"/>
                <w:szCs w:val="22"/>
              </w:rPr>
              <w:t>Applikationer.</w:t>
            </w:r>
          </w:p>
        </w:tc>
      </w:tr>
      <w:tr w:rsidR="0076365B" w14:paraId="64BFB24C" w14:textId="77777777" w:rsidTr="0083251D">
        <w:trPr>
          <w:cantSplit/>
          <w:trHeight w:val="377"/>
        </w:trPr>
        <w:tc>
          <w:tcPr>
            <w:tcW w:w="2689" w:type="dxa"/>
            <w:tcBorders>
              <w:top w:val="single" w:sz="4" w:space="0" w:color="auto"/>
              <w:left w:val="single" w:sz="4" w:space="0" w:color="auto"/>
              <w:bottom w:val="single" w:sz="4" w:space="0" w:color="auto"/>
              <w:right w:val="single" w:sz="4" w:space="0" w:color="auto"/>
            </w:tcBorders>
          </w:tcPr>
          <w:p w14:paraId="16C61B23" w14:textId="4465673E" w:rsidR="0076365B" w:rsidRPr="0083251D" w:rsidRDefault="0076365B" w:rsidP="00217545">
            <w:r w:rsidRPr="0083251D">
              <w:t>Testmiljø</w:t>
            </w:r>
          </w:p>
        </w:tc>
        <w:tc>
          <w:tcPr>
            <w:tcW w:w="6633" w:type="dxa"/>
            <w:tcBorders>
              <w:top w:val="single" w:sz="4" w:space="0" w:color="auto"/>
              <w:left w:val="single" w:sz="4" w:space="0" w:color="auto"/>
              <w:bottom w:val="single" w:sz="4" w:space="0" w:color="auto"/>
              <w:right w:val="single" w:sz="4" w:space="0" w:color="auto"/>
            </w:tcBorders>
          </w:tcPr>
          <w:p w14:paraId="490BCCE1" w14:textId="160221D2" w:rsidR="0076365B" w:rsidRPr="00AB3B72" w:rsidRDefault="0076365B" w:rsidP="00217545">
            <w:pPr>
              <w:rPr>
                <w:color w:val="000000"/>
                <w:szCs w:val="22"/>
              </w:rPr>
            </w:pPr>
            <w:r w:rsidRPr="00447590">
              <w:rPr>
                <w:color w:val="000000"/>
                <w:szCs w:val="22"/>
              </w:rPr>
              <w:t>Ved Testmiljø forstås de</w:t>
            </w:r>
            <w:r>
              <w:rPr>
                <w:color w:val="000000"/>
                <w:szCs w:val="22"/>
              </w:rPr>
              <w:t>t Miljø</w:t>
            </w:r>
            <w:r w:rsidRPr="00447590">
              <w:rPr>
                <w:color w:val="000000"/>
                <w:szCs w:val="22"/>
              </w:rPr>
              <w:t>, hvor nye Releases</w:t>
            </w:r>
            <w:r>
              <w:rPr>
                <w:color w:val="000000"/>
                <w:szCs w:val="22"/>
              </w:rPr>
              <w:t xml:space="preserve"> og Versioner</w:t>
            </w:r>
            <w:r w:rsidRPr="00447590">
              <w:rPr>
                <w:color w:val="000000"/>
                <w:szCs w:val="22"/>
              </w:rPr>
              <w:t xml:space="preserve"> af </w:t>
            </w:r>
            <w:r>
              <w:rPr>
                <w:color w:val="000000"/>
                <w:szCs w:val="22"/>
              </w:rPr>
              <w:t>Programmel</w:t>
            </w:r>
            <w:r w:rsidRPr="00447590">
              <w:rPr>
                <w:color w:val="000000"/>
                <w:szCs w:val="22"/>
              </w:rPr>
              <w:t xml:space="preserve"> kan testes. Miljøet indeholder alene testdata.</w:t>
            </w:r>
          </w:p>
        </w:tc>
      </w:tr>
      <w:tr w:rsidR="0076365B" w14:paraId="6129EE9D"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3FC54F34" w14:textId="77777777" w:rsidR="0076365B" w:rsidRPr="0083251D" w:rsidRDefault="0076365B" w:rsidP="00217545">
            <w:pPr>
              <w:rPr>
                <w:szCs w:val="23"/>
              </w:rPr>
            </w:pPr>
            <w:r w:rsidRPr="0083251D">
              <w:t>Transformation</w:t>
            </w:r>
          </w:p>
        </w:tc>
        <w:tc>
          <w:tcPr>
            <w:tcW w:w="6633" w:type="dxa"/>
            <w:tcBorders>
              <w:top w:val="single" w:sz="4" w:space="0" w:color="auto"/>
              <w:left w:val="single" w:sz="4" w:space="0" w:color="auto"/>
              <w:bottom w:val="single" w:sz="4" w:space="0" w:color="auto"/>
              <w:right w:val="single" w:sz="4" w:space="0" w:color="auto"/>
            </w:tcBorders>
          </w:tcPr>
          <w:p w14:paraId="2E4D28FB" w14:textId="358E81BF" w:rsidR="0076365B" w:rsidRDefault="0076365B" w:rsidP="00217545">
            <w:r>
              <w:rPr>
                <w:color w:val="000000"/>
                <w:szCs w:val="22"/>
              </w:rPr>
              <w:t>Ved Transformation forstås de i Kontraktens punkt 29.2 beskrevne Ydelser.</w:t>
            </w:r>
            <w:r w:rsidR="00AE66D1">
              <w:rPr>
                <w:color w:val="000000"/>
                <w:szCs w:val="22"/>
              </w:rPr>
              <w:t xml:space="preserve"> Transformation leveres enten som en Indledende Ydelse eller en Bestillingsydelse.</w:t>
            </w:r>
          </w:p>
        </w:tc>
      </w:tr>
      <w:tr w:rsidR="0076365B" w14:paraId="32E54A50"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20B3D72D" w14:textId="77777777" w:rsidR="0076365B" w:rsidRPr="0083251D" w:rsidRDefault="0076365B" w:rsidP="00217545">
            <w:r w:rsidRPr="0083251D">
              <w:lastRenderedPageBreak/>
              <w:t>Transition Ind</w:t>
            </w:r>
          </w:p>
        </w:tc>
        <w:tc>
          <w:tcPr>
            <w:tcW w:w="6633" w:type="dxa"/>
            <w:tcBorders>
              <w:top w:val="single" w:sz="4" w:space="0" w:color="auto"/>
              <w:left w:val="single" w:sz="4" w:space="0" w:color="auto"/>
              <w:bottom w:val="single" w:sz="4" w:space="0" w:color="auto"/>
              <w:right w:val="single" w:sz="4" w:space="0" w:color="auto"/>
            </w:tcBorders>
            <w:hideMark/>
          </w:tcPr>
          <w:p w14:paraId="2E52A088" w14:textId="635C6DDC" w:rsidR="0076365B" w:rsidRDefault="0076365B" w:rsidP="00217545">
            <w:bookmarkStart w:id="8" w:name="_Hlk508005268"/>
            <w:r>
              <w:t xml:space="preserve">Ved Transition Ind forstås perioden fra afklaringsfasens afslutning til Transitionsdagen. </w:t>
            </w:r>
            <w:bookmarkEnd w:id="8"/>
          </w:p>
        </w:tc>
      </w:tr>
      <w:tr w:rsidR="0076365B" w14:paraId="6C80D27D"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7FA86C12" w14:textId="5FA3867B" w:rsidR="0076365B" w:rsidRPr="0083251D" w:rsidRDefault="0076365B" w:rsidP="00217545">
            <w:bookmarkStart w:id="9" w:name="_Hlk505012478"/>
            <w:r w:rsidRPr="0083251D">
              <w:t>Transition Ud</w:t>
            </w:r>
          </w:p>
        </w:tc>
        <w:tc>
          <w:tcPr>
            <w:tcW w:w="6633" w:type="dxa"/>
            <w:tcBorders>
              <w:top w:val="single" w:sz="4" w:space="0" w:color="auto"/>
              <w:left w:val="single" w:sz="4" w:space="0" w:color="auto"/>
              <w:bottom w:val="single" w:sz="4" w:space="0" w:color="auto"/>
              <w:right w:val="single" w:sz="4" w:space="0" w:color="auto"/>
            </w:tcBorders>
          </w:tcPr>
          <w:p w14:paraId="7B46F70E" w14:textId="02B9C2C0" w:rsidR="0076365B" w:rsidRDefault="00EF53F5" w:rsidP="00217545">
            <w:r>
              <w:rPr>
                <w:szCs w:val="23"/>
              </w:rPr>
              <w:t xml:space="preserve">Ved </w:t>
            </w:r>
            <w:r w:rsidR="0076365B" w:rsidRPr="003D4FC1">
              <w:rPr>
                <w:szCs w:val="23"/>
              </w:rPr>
              <w:t>Transition Ud</w:t>
            </w:r>
            <w:r>
              <w:rPr>
                <w:szCs w:val="23"/>
              </w:rPr>
              <w:t xml:space="preserve"> forstås perioden, der</w:t>
            </w:r>
            <w:r w:rsidR="0076365B" w:rsidRPr="003D4FC1">
              <w:rPr>
                <w:szCs w:val="23"/>
              </w:rPr>
              <w:t xml:space="preserve"> indlededes på det tidligste tidspunkt af</w:t>
            </w:r>
            <w:r w:rsidR="0076365B">
              <w:rPr>
                <w:szCs w:val="23"/>
              </w:rPr>
              <w:t xml:space="preserve"> i)</w:t>
            </w:r>
            <w:r w:rsidR="0076365B" w:rsidRPr="003D4FC1">
              <w:rPr>
                <w:szCs w:val="23"/>
              </w:rPr>
              <w:t xml:space="preserve"> tidspunktet, hvor Kunden eller Leverandøren har givet Meddelelse om, at Kontrakten bringes til helt eller delvist ophør, </w:t>
            </w:r>
            <w:r w:rsidR="0076365B">
              <w:rPr>
                <w:szCs w:val="23"/>
              </w:rPr>
              <w:t xml:space="preserve">ii) tidspunktet hvor </w:t>
            </w:r>
            <w:r w:rsidR="0076365B" w:rsidRPr="003D4FC1">
              <w:rPr>
                <w:szCs w:val="23"/>
              </w:rPr>
              <w:t xml:space="preserve">Kunden har adviseret Leverandøren om valg af ny leverandør for hele eller dele af Ydelserne, eller </w:t>
            </w:r>
            <w:r w:rsidR="0076365B">
              <w:rPr>
                <w:szCs w:val="23"/>
              </w:rPr>
              <w:t xml:space="preserve">iii) </w:t>
            </w:r>
            <w:r w:rsidR="0076365B" w:rsidRPr="003D4FC1">
              <w:rPr>
                <w:szCs w:val="23"/>
              </w:rPr>
              <w:t>[</w:t>
            </w:r>
            <w:r w:rsidR="0076365B" w:rsidRPr="004F10CA">
              <w:rPr>
                <w:szCs w:val="23"/>
                <w:highlight w:val="yellow"/>
              </w:rPr>
              <w:t>6 måneder</w:t>
            </w:r>
            <w:r w:rsidR="0076365B" w:rsidRPr="003D4FC1">
              <w:rPr>
                <w:szCs w:val="23"/>
              </w:rPr>
              <w:t>] før Kontraktens ophør</w:t>
            </w:r>
            <w:r w:rsidR="0076365B">
              <w:rPr>
                <w:szCs w:val="23"/>
              </w:rPr>
              <w:t>. Transition Ud afsluttes på</w:t>
            </w:r>
            <w:r w:rsidR="0076365B" w:rsidRPr="003D4FC1">
              <w:rPr>
                <w:szCs w:val="23"/>
              </w:rPr>
              <w:t xml:space="preserve"> Overdragelsesdagen.</w:t>
            </w:r>
          </w:p>
        </w:tc>
      </w:tr>
      <w:bookmarkEnd w:id="9"/>
      <w:tr w:rsidR="0076365B" w14:paraId="0AAC04BE"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2160AECA" w14:textId="77777777" w:rsidR="0076365B" w:rsidRPr="0083251D" w:rsidRDefault="0076365B" w:rsidP="00217545">
            <w:r w:rsidRPr="0083251D">
              <w:t>Transitionsdagen</w:t>
            </w:r>
          </w:p>
          <w:p w14:paraId="151E390D" w14:textId="77777777" w:rsidR="0076365B" w:rsidRPr="0083251D" w:rsidRDefault="0076365B" w:rsidP="00217545"/>
        </w:tc>
        <w:tc>
          <w:tcPr>
            <w:tcW w:w="6633" w:type="dxa"/>
            <w:tcBorders>
              <w:top w:val="single" w:sz="4" w:space="0" w:color="auto"/>
              <w:left w:val="single" w:sz="4" w:space="0" w:color="auto"/>
              <w:bottom w:val="single" w:sz="4" w:space="0" w:color="auto"/>
              <w:right w:val="single" w:sz="4" w:space="0" w:color="auto"/>
            </w:tcBorders>
          </w:tcPr>
          <w:p w14:paraId="437F6E01" w14:textId="1A09B9E7" w:rsidR="0076365B" w:rsidRDefault="0076365B" w:rsidP="00217545">
            <w:bookmarkStart w:id="10" w:name="_Hlk498452538"/>
            <w:r>
              <w:t xml:space="preserve">Ved Transitionsdagen forstås </w:t>
            </w:r>
            <w:bookmarkStart w:id="11" w:name="_Hlk500178815"/>
            <w:r>
              <w:t>den dag, hvor Kunden ved Meddelelse over for Leverandøren godkender transitionsprøven</w:t>
            </w:r>
            <w:bookmarkEnd w:id="11"/>
            <w:r>
              <w:t>.</w:t>
            </w:r>
            <w:bookmarkEnd w:id="10"/>
          </w:p>
        </w:tc>
      </w:tr>
      <w:tr w:rsidR="0076365B" w14:paraId="409271F4"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43EA17A" w14:textId="77777777" w:rsidR="0076365B" w:rsidRPr="0083251D" w:rsidRDefault="0076365B" w:rsidP="00217545">
            <w:r w:rsidRPr="0083251D">
              <w:t>Tværgående Ydelser</w:t>
            </w:r>
          </w:p>
        </w:tc>
        <w:tc>
          <w:tcPr>
            <w:tcW w:w="6633" w:type="dxa"/>
            <w:tcBorders>
              <w:top w:val="single" w:sz="4" w:space="0" w:color="auto"/>
              <w:left w:val="single" w:sz="4" w:space="0" w:color="auto"/>
              <w:bottom w:val="single" w:sz="4" w:space="0" w:color="auto"/>
              <w:right w:val="single" w:sz="4" w:space="0" w:color="auto"/>
            </w:tcBorders>
          </w:tcPr>
          <w:p w14:paraId="71C57E7D" w14:textId="581B88E4" w:rsidR="0076365B" w:rsidRDefault="0076365B" w:rsidP="00217545">
            <w:r>
              <w:rPr>
                <w:szCs w:val="22"/>
              </w:rPr>
              <w:t xml:space="preserve">Ved Tværgående Ydelser forstås Leverandørens opfyldelse af de krav, som Kunden stiller i henhold til Kontraktens </w:t>
            </w:r>
            <w:r w:rsidRPr="00693EB6">
              <w:rPr>
                <w:szCs w:val="22"/>
              </w:rPr>
              <w:t>kapitel V</w:t>
            </w:r>
            <w:r>
              <w:rPr>
                <w:szCs w:val="22"/>
              </w:rPr>
              <w:t>II</w:t>
            </w:r>
            <w:r w:rsidRPr="00693EB6">
              <w:rPr>
                <w:szCs w:val="22"/>
              </w:rPr>
              <w:t>.</w:t>
            </w:r>
          </w:p>
        </w:tc>
      </w:tr>
      <w:tr w:rsidR="0076365B" w14:paraId="5A0A2FFC"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1A8174CD" w14:textId="1AFD0246" w:rsidR="0076365B" w:rsidRPr="0083251D" w:rsidRDefault="0076365B" w:rsidP="00217545">
            <w:r w:rsidRPr="0083251D">
              <w:t>Udviklingsmiljø</w:t>
            </w:r>
          </w:p>
        </w:tc>
        <w:tc>
          <w:tcPr>
            <w:tcW w:w="6633" w:type="dxa"/>
            <w:tcBorders>
              <w:top w:val="single" w:sz="4" w:space="0" w:color="auto"/>
              <w:left w:val="single" w:sz="4" w:space="0" w:color="auto"/>
              <w:bottom w:val="single" w:sz="4" w:space="0" w:color="auto"/>
              <w:right w:val="single" w:sz="4" w:space="0" w:color="auto"/>
            </w:tcBorders>
          </w:tcPr>
          <w:p w14:paraId="736A8F59" w14:textId="5CF74AEC" w:rsidR="0076365B" w:rsidRDefault="0076365B" w:rsidP="00217545">
            <w:pPr>
              <w:rPr>
                <w:szCs w:val="22"/>
              </w:rPr>
            </w:pPr>
            <w:r w:rsidRPr="009C112F">
              <w:rPr>
                <w:szCs w:val="22"/>
              </w:rPr>
              <w:t>Ved Udviklingsmiljø forstås det miljø, som Leverandøren anvender som led i vedligeholdelse og videreudvikling af Systemet.</w:t>
            </w:r>
          </w:p>
        </w:tc>
      </w:tr>
      <w:tr w:rsidR="0076365B" w14:paraId="217F173C"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4D2A70E3" w14:textId="77777777" w:rsidR="0076365B" w:rsidRPr="0083251D" w:rsidRDefault="0076365B" w:rsidP="00217545">
            <w:r w:rsidRPr="0083251D">
              <w:t>Underleverandører</w:t>
            </w:r>
          </w:p>
          <w:p w14:paraId="703986BC" w14:textId="77777777" w:rsidR="0076365B" w:rsidRPr="0083251D" w:rsidRDefault="0076365B" w:rsidP="00217545"/>
        </w:tc>
        <w:tc>
          <w:tcPr>
            <w:tcW w:w="6633" w:type="dxa"/>
            <w:tcBorders>
              <w:top w:val="single" w:sz="4" w:space="0" w:color="auto"/>
              <w:left w:val="single" w:sz="4" w:space="0" w:color="auto"/>
              <w:bottom w:val="single" w:sz="4" w:space="0" w:color="auto"/>
              <w:right w:val="single" w:sz="4" w:space="0" w:color="auto"/>
            </w:tcBorders>
          </w:tcPr>
          <w:p w14:paraId="69F2C511" w14:textId="78E3C958" w:rsidR="0076365B" w:rsidRDefault="0076365B" w:rsidP="00217545">
            <w:r w:rsidRPr="006605DD">
              <w:rPr>
                <w:szCs w:val="22"/>
              </w:rPr>
              <w:t>Ved Underleverandører forstås Leverandørens eventuelle samarbejdspartnere, der bidrager til Kontraktens opfyldelse. Producenter af Standardprogrammel</w:t>
            </w:r>
            <w:r w:rsidR="006605DD" w:rsidRPr="006605DD">
              <w:rPr>
                <w:szCs w:val="22"/>
              </w:rPr>
              <w:t>, hardwareleverandører</w:t>
            </w:r>
            <w:r w:rsidR="006605DD">
              <w:rPr>
                <w:szCs w:val="22"/>
              </w:rPr>
              <w:t xml:space="preserve"> og øvrige leverandører af</w:t>
            </w:r>
            <w:r w:rsidR="006605DD" w:rsidRPr="006605DD">
              <w:rPr>
                <w:szCs w:val="22"/>
              </w:rPr>
              <w:t xml:space="preserve"> ”standardydelser”</w:t>
            </w:r>
            <w:r w:rsidR="006605DD">
              <w:rPr>
                <w:szCs w:val="22"/>
              </w:rPr>
              <w:t xml:space="preserve"> såsom</w:t>
            </w:r>
            <w:r w:rsidR="006605DD" w:rsidRPr="006605DD">
              <w:rPr>
                <w:szCs w:val="22"/>
              </w:rPr>
              <w:t xml:space="preserve"> strøm, WAN, LAN o</w:t>
            </w:r>
            <w:r w:rsidR="00FB5DF1">
              <w:rPr>
                <w:szCs w:val="22"/>
              </w:rPr>
              <w:t xml:space="preserve">g </w:t>
            </w:r>
            <w:r w:rsidR="006605DD" w:rsidRPr="006605DD">
              <w:rPr>
                <w:szCs w:val="22"/>
              </w:rPr>
              <w:t>lign</w:t>
            </w:r>
            <w:r w:rsidR="00FB5DF1">
              <w:rPr>
                <w:szCs w:val="22"/>
              </w:rPr>
              <w:t>ende</w:t>
            </w:r>
            <w:r w:rsidR="00762C81">
              <w:rPr>
                <w:szCs w:val="22"/>
              </w:rPr>
              <w:t>, der ikke bidrager specifikt til Kontraktens opfyldelse, og herunder ikke har adgang til Kundens data,</w:t>
            </w:r>
            <w:r w:rsidRPr="006605DD">
              <w:rPr>
                <w:szCs w:val="22"/>
              </w:rPr>
              <w:t xml:space="preserve"> anses dog ikke som Underleverandører i Kontrakten.</w:t>
            </w:r>
          </w:p>
        </w:tc>
      </w:tr>
      <w:tr w:rsidR="0076365B" w14:paraId="38680960"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730855C7" w14:textId="77777777" w:rsidR="0076365B" w:rsidRPr="0083251D" w:rsidRDefault="0076365B" w:rsidP="00217545">
            <w:r w:rsidRPr="0083251D">
              <w:t>Version</w:t>
            </w:r>
          </w:p>
        </w:tc>
        <w:tc>
          <w:tcPr>
            <w:tcW w:w="6633" w:type="dxa"/>
            <w:tcBorders>
              <w:top w:val="single" w:sz="4" w:space="0" w:color="auto"/>
              <w:left w:val="single" w:sz="4" w:space="0" w:color="auto"/>
              <w:bottom w:val="single" w:sz="4" w:space="0" w:color="auto"/>
              <w:right w:val="single" w:sz="4" w:space="0" w:color="auto"/>
            </w:tcBorders>
          </w:tcPr>
          <w:p w14:paraId="21CFB539" w14:textId="6466E135" w:rsidR="0076365B" w:rsidRDefault="0076365B" w:rsidP="00217545">
            <w:r>
              <w:t xml:space="preserve">Ved Version forstås </w:t>
            </w:r>
            <w:r w:rsidRPr="0074612D">
              <w:t>en opdatering, der indeholder væsentligt ændret funktionalitet. Almindeligvis kendetegnet</w:t>
            </w:r>
            <w:r>
              <w:t xml:space="preserve"> </w:t>
            </w:r>
            <w:r w:rsidRPr="0074612D">
              <w:t>ved, at hovednummeret for versionen ændres (f.eks. fra 5.1 til 6.0).</w:t>
            </w:r>
          </w:p>
        </w:tc>
      </w:tr>
      <w:tr w:rsidR="0076365B" w14:paraId="653430FD" w14:textId="77777777" w:rsidTr="0083251D">
        <w:trPr>
          <w:cantSplit/>
        </w:trPr>
        <w:tc>
          <w:tcPr>
            <w:tcW w:w="2689" w:type="dxa"/>
            <w:tcBorders>
              <w:top w:val="single" w:sz="4" w:space="0" w:color="auto"/>
              <w:left w:val="single" w:sz="4" w:space="0" w:color="auto"/>
              <w:bottom w:val="single" w:sz="4" w:space="0" w:color="auto"/>
              <w:right w:val="single" w:sz="4" w:space="0" w:color="auto"/>
            </w:tcBorders>
          </w:tcPr>
          <w:p w14:paraId="4D078F93" w14:textId="3F8C7B91" w:rsidR="0076365B" w:rsidRPr="0083251D" w:rsidRDefault="0076365B" w:rsidP="00217545">
            <w:r w:rsidRPr="0083251D">
              <w:t>Virksomhedsoverdragelsesloven eller VOL</w:t>
            </w:r>
          </w:p>
        </w:tc>
        <w:tc>
          <w:tcPr>
            <w:tcW w:w="6633" w:type="dxa"/>
            <w:tcBorders>
              <w:top w:val="single" w:sz="4" w:space="0" w:color="auto"/>
              <w:left w:val="single" w:sz="4" w:space="0" w:color="auto"/>
              <w:bottom w:val="single" w:sz="4" w:space="0" w:color="auto"/>
              <w:right w:val="single" w:sz="4" w:space="0" w:color="auto"/>
            </w:tcBorders>
          </w:tcPr>
          <w:p w14:paraId="361BD7D7" w14:textId="77D866BD" w:rsidR="0076365B" w:rsidRDefault="0076365B" w:rsidP="00217545">
            <w:r>
              <w:t xml:space="preserve">Ved Virksomhedsoverdragelsesloven eller VOL forstås bekendtgørelse af lov om lønmodtageres retsstilling ved virksomhedsoverdragelse af 20/08/2002. </w:t>
            </w:r>
          </w:p>
        </w:tc>
      </w:tr>
      <w:tr w:rsidR="0076365B" w14:paraId="77D98B17" w14:textId="77777777" w:rsidTr="0083251D">
        <w:trPr>
          <w:cantSplit/>
        </w:trPr>
        <w:tc>
          <w:tcPr>
            <w:tcW w:w="2689" w:type="dxa"/>
            <w:tcBorders>
              <w:top w:val="single" w:sz="4" w:space="0" w:color="auto"/>
              <w:left w:val="single" w:sz="4" w:space="0" w:color="auto"/>
              <w:bottom w:val="single" w:sz="4" w:space="0" w:color="auto"/>
              <w:right w:val="single" w:sz="4" w:space="0" w:color="auto"/>
            </w:tcBorders>
            <w:hideMark/>
          </w:tcPr>
          <w:p w14:paraId="0A3C6E29" w14:textId="77777777" w:rsidR="0076365B" w:rsidRPr="0083251D" w:rsidRDefault="0076365B" w:rsidP="00217545">
            <w:r w:rsidRPr="0083251D">
              <w:t>Ydelser</w:t>
            </w:r>
          </w:p>
        </w:tc>
        <w:tc>
          <w:tcPr>
            <w:tcW w:w="6633" w:type="dxa"/>
            <w:tcBorders>
              <w:top w:val="single" w:sz="4" w:space="0" w:color="auto"/>
              <w:left w:val="single" w:sz="4" w:space="0" w:color="auto"/>
              <w:bottom w:val="single" w:sz="4" w:space="0" w:color="auto"/>
              <w:right w:val="single" w:sz="4" w:space="0" w:color="auto"/>
            </w:tcBorders>
          </w:tcPr>
          <w:p w14:paraId="4B5ADCE8" w14:textId="5E57A8A7" w:rsidR="0076365B" w:rsidRPr="00D41015" w:rsidRDefault="0076365B" w:rsidP="00217545">
            <w:pPr>
              <w:rPr>
                <w:szCs w:val="22"/>
              </w:rPr>
            </w:pPr>
            <w:r w:rsidRPr="00D41015">
              <w:rPr>
                <w:szCs w:val="22"/>
              </w:rPr>
              <w:t xml:space="preserve">Ved Ydelser forstås </w:t>
            </w:r>
            <w:r>
              <w:rPr>
                <w:szCs w:val="22"/>
              </w:rPr>
              <w:t>a</w:t>
            </w:r>
            <w:r w:rsidRPr="00D41015">
              <w:rPr>
                <w:szCs w:val="22"/>
              </w:rPr>
              <w:t>lle de ydelser, herunder</w:t>
            </w:r>
            <w:r w:rsidR="00AE66D1">
              <w:rPr>
                <w:szCs w:val="22"/>
              </w:rPr>
              <w:t xml:space="preserve"> Indledende Ydelser,</w:t>
            </w:r>
            <w:r w:rsidRPr="00D41015">
              <w:rPr>
                <w:szCs w:val="22"/>
              </w:rPr>
              <w:t xml:space="preserve"> Løbende Ydelser</w:t>
            </w:r>
            <w:r>
              <w:rPr>
                <w:szCs w:val="22"/>
              </w:rPr>
              <w:t>,</w:t>
            </w:r>
            <w:r w:rsidRPr="00D41015">
              <w:rPr>
                <w:szCs w:val="22"/>
              </w:rPr>
              <w:t xml:space="preserve"> Tværgående Ydelser</w:t>
            </w:r>
            <w:r>
              <w:rPr>
                <w:szCs w:val="22"/>
              </w:rPr>
              <w:t xml:space="preserve"> og Bestillingsydelser</w:t>
            </w:r>
            <w:r w:rsidRPr="00D41015">
              <w:rPr>
                <w:szCs w:val="22"/>
              </w:rPr>
              <w:t>, som Leverandøren er forpligtet til at levere i henhold til Kontrakten.</w:t>
            </w:r>
          </w:p>
        </w:tc>
      </w:tr>
      <w:tr w:rsidR="0076365B" w14:paraId="17C518CA" w14:textId="77777777" w:rsidTr="0083251D">
        <w:trPr>
          <w:cantSplit/>
          <w:trHeight w:val="870"/>
        </w:trPr>
        <w:tc>
          <w:tcPr>
            <w:tcW w:w="2689" w:type="dxa"/>
            <w:tcBorders>
              <w:top w:val="single" w:sz="4" w:space="0" w:color="auto"/>
              <w:left w:val="single" w:sz="4" w:space="0" w:color="auto"/>
              <w:bottom w:val="single" w:sz="4" w:space="0" w:color="auto"/>
              <w:right w:val="single" w:sz="4" w:space="0" w:color="auto"/>
            </w:tcBorders>
            <w:hideMark/>
          </w:tcPr>
          <w:p w14:paraId="6FB9F740" w14:textId="77777777" w:rsidR="0076365B" w:rsidRPr="0083251D" w:rsidRDefault="0076365B" w:rsidP="00217545">
            <w:r w:rsidRPr="0083251D">
              <w:lastRenderedPageBreak/>
              <w:t>Ydelsesbeskrivelse</w:t>
            </w:r>
          </w:p>
        </w:tc>
        <w:tc>
          <w:tcPr>
            <w:tcW w:w="6633" w:type="dxa"/>
            <w:tcBorders>
              <w:top w:val="single" w:sz="4" w:space="0" w:color="auto"/>
              <w:left w:val="single" w:sz="4" w:space="0" w:color="auto"/>
              <w:bottom w:val="single" w:sz="4" w:space="0" w:color="auto"/>
              <w:right w:val="single" w:sz="4" w:space="0" w:color="auto"/>
            </w:tcBorders>
            <w:hideMark/>
          </w:tcPr>
          <w:p w14:paraId="4C4F42DE" w14:textId="34B57264" w:rsidR="0076365B" w:rsidRDefault="0076365B" w:rsidP="00217545">
            <w:r>
              <w:rPr>
                <w:szCs w:val="22"/>
              </w:rPr>
              <w:t>Ved Ydelsesbeskrivelse forstås de af Kunden stillede krav til Ydelserne og Leverandørens løsningsbeskrivelse herpå, jf. Bilag 12 (Ydelsesbeskrivelse).</w:t>
            </w:r>
          </w:p>
        </w:tc>
      </w:tr>
      <w:tr w:rsidR="0076365B" w14:paraId="5661F8F1" w14:textId="77777777" w:rsidTr="0083251D">
        <w:trPr>
          <w:cantSplit/>
          <w:trHeight w:val="870"/>
        </w:trPr>
        <w:tc>
          <w:tcPr>
            <w:tcW w:w="2689" w:type="dxa"/>
            <w:tcBorders>
              <w:top w:val="single" w:sz="4" w:space="0" w:color="auto"/>
              <w:left w:val="single" w:sz="4" w:space="0" w:color="auto"/>
              <w:bottom w:val="single" w:sz="4" w:space="0" w:color="auto"/>
              <w:right w:val="single" w:sz="4" w:space="0" w:color="auto"/>
            </w:tcBorders>
          </w:tcPr>
          <w:p w14:paraId="7167B1C1" w14:textId="2FF23B00" w:rsidR="0076365B" w:rsidRPr="0083251D" w:rsidRDefault="0076365B" w:rsidP="00217545">
            <w:r w:rsidRPr="0083251D">
              <w:t>Øvrige Leverandører</w:t>
            </w:r>
          </w:p>
        </w:tc>
        <w:tc>
          <w:tcPr>
            <w:tcW w:w="6633" w:type="dxa"/>
            <w:tcBorders>
              <w:top w:val="single" w:sz="4" w:space="0" w:color="auto"/>
              <w:left w:val="single" w:sz="4" w:space="0" w:color="auto"/>
              <w:bottom w:val="single" w:sz="4" w:space="0" w:color="auto"/>
              <w:right w:val="single" w:sz="4" w:space="0" w:color="auto"/>
            </w:tcBorders>
          </w:tcPr>
          <w:p w14:paraId="321B24DD" w14:textId="10E3E351" w:rsidR="0076365B" w:rsidRDefault="0076365B" w:rsidP="00217545">
            <w:pPr>
              <w:rPr>
                <w:szCs w:val="22"/>
              </w:rPr>
            </w:pPr>
            <w:r>
              <w:rPr>
                <w:szCs w:val="22"/>
              </w:rPr>
              <w:t xml:space="preserve">Ved Øvrige Leverandører forstås Kundens øvrige leverandører, som </w:t>
            </w:r>
            <w:r w:rsidR="007733DF">
              <w:rPr>
                <w:szCs w:val="22"/>
              </w:rPr>
              <w:t>understøtter Kundens forretningsmæssige behov i relation til Kontrakten</w:t>
            </w:r>
            <w:r>
              <w:rPr>
                <w:szCs w:val="22"/>
              </w:rPr>
              <w:t xml:space="preserve">. Øvrige Leverandører kan eksempelvis være Applikationsleverandører.  </w:t>
            </w:r>
          </w:p>
        </w:tc>
      </w:tr>
      <w:tr w:rsidR="0076365B" w14:paraId="6201726E" w14:textId="77777777" w:rsidTr="0083251D">
        <w:trPr>
          <w:cantSplit/>
          <w:trHeight w:val="870"/>
        </w:trPr>
        <w:tc>
          <w:tcPr>
            <w:tcW w:w="2689" w:type="dxa"/>
            <w:tcBorders>
              <w:top w:val="single" w:sz="4" w:space="0" w:color="auto"/>
              <w:left w:val="single" w:sz="4" w:space="0" w:color="auto"/>
              <w:bottom w:val="single" w:sz="4" w:space="0" w:color="auto"/>
              <w:right w:val="single" w:sz="4" w:space="0" w:color="auto"/>
            </w:tcBorders>
          </w:tcPr>
          <w:p w14:paraId="10ED059E" w14:textId="45C8FC63" w:rsidR="0076365B" w:rsidRPr="0083251D" w:rsidRDefault="0076365B" w:rsidP="00217545">
            <w:r w:rsidRPr="0083251D">
              <w:t>Øvrig Tid</w:t>
            </w:r>
          </w:p>
        </w:tc>
        <w:tc>
          <w:tcPr>
            <w:tcW w:w="6633" w:type="dxa"/>
            <w:tcBorders>
              <w:top w:val="single" w:sz="4" w:space="0" w:color="auto"/>
              <w:left w:val="single" w:sz="4" w:space="0" w:color="auto"/>
              <w:bottom w:val="single" w:sz="4" w:space="0" w:color="auto"/>
              <w:right w:val="single" w:sz="4" w:space="0" w:color="auto"/>
            </w:tcBorders>
          </w:tcPr>
          <w:p w14:paraId="6FFD4308" w14:textId="0E2DAA0F" w:rsidR="0076365B" w:rsidRDefault="0076365B" w:rsidP="00217545">
            <w:pPr>
              <w:rPr>
                <w:szCs w:val="22"/>
              </w:rPr>
            </w:pPr>
            <w:r>
              <w:rPr>
                <w:szCs w:val="22"/>
              </w:rPr>
              <w:t>Ved Øvrig tid forstås tidsrummet mellem 17.00 til 09.00 lokal dansk tid på Arbejdsdage, og tidsrummet mellem 00.00 til 24.00 på alle Dage, der ikke er Arbejdsdage.</w:t>
            </w:r>
          </w:p>
        </w:tc>
      </w:tr>
    </w:tbl>
    <w:p w14:paraId="7F54C490" w14:textId="77777777" w:rsidR="00970E7C" w:rsidRPr="001B7EB0" w:rsidRDefault="00970E7C" w:rsidP="001B7EB0">
      <w:pPr>
        <w:pStyle w:val="PunktafsnitAlmtekst"/>
        <w:rPr>
          <w:lang w:val="da-DK"/>
        </w:rPr>
      </w:pPr>
    </w:p>
    <w:sectPr w:rsidR="00970E7C" w:rsidRPr="001B7EB0" w:rsidSect="00816259">
      <w:headerReference w:type="default" r:id="rId8"/>
      <w:footerReference w:type="default" r:id="rId9"/>
      <w:headerReference w:type="first" r:id="rId10"/>
      <w:pgSz w:w="11906" w:h="16838" w:code="9"/>
      <w:pgMar w:top="2466" w:right="1134" w:bottom="1985" w:left="1134"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AC465" w14:textId="77777777" w:rsidR="000E21A3" w:rsidRDefault="000E21A3" w:rsidP="00816259">
      <w:pPr>
        <w:spacing w:line="240" w:lineRule="auto"/>
      </w:pPr>
      <w:r>
        <w:separator/>
      </w:r>
    </w:p>
  </w:endnote>
  <w:endnote w:type="continuationSeparator" w:id="0">
    <w:p w14:paraId="5D3B3740" w14:textId="77777777" w:rsidR="000E21A3" w:rsidRDefault="000E21A3" w:rsidP="00816259">
      <w:pPr>
        <w:spacing w:line="240" w:lineRule="auto"/>
      </w:pPr>
      <w:r>
        <w:continuationSeparator/>
      </w:r>
    </w:p>
  </w:endnote>
  <w:endnote w:type="continuationNotice" w:id="1">
    <w:p w14:paraId="3F664E5E" w14:textId="77777777" w:rsidR="000E21A3" w:rsidRDefault="000E2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116D" w14:textId="2A1EA2C2" w:rsidR="001A7764" w:rsidRPr="00970E7C" w:rsidRDefault="000E21A3" w:rsidP="00970E7C">
    <w:pPr>
      <w:pStyle w:val="Sidefod"/>
      <w:jc w:val="right"/>
      <w:rPr>
        <w:lang w:val="en-GB"/>
      </w:rPr>
    </w:pPr>
    <w:sdt>
      <w:sdtPr>
        <w:rPr>
          <w:lang w:val="en-GB"/>
        </w:rPr>
        <w:alias w:val="Page"/>
        <w:id w:val="-1594153313"/>
        <w:lock w:val="contentLocked"/>
        <w:placeholder>
          <w:docPart w:val="AC12106983BA4042927F2EDCC417C6C9"/>
        </w:placeholder>
        <w:text/>
      </w:sdtPr>
      <w:sdtEndPr/>
      <w:sdtContent>
        <w:r w:rsidR="00B76583">
          <w:rPr>
            <w:lang w:val="en-GB"/>
          </w:rPr>
          <w:t>Side</w:t>
        </w:r>
      </w:sdtContent>
    </w:sdt>
    <w:r w:rsidR="001A7764">
      <w:rPr>
        <w:lang w:val="en-GB"/>
      </w:rPr>
      <w:t xml:space="preserve"> </w:t>
    </w:r>
    <w:r w:rsidR="001A7764">
      <w:fldChar w:fldCharType="begin"/>
    </w:r>
    <w:r w:rsidR="001A7764">
      <w:instrText xml:space="preserve"> PAGE   \* MERGEFORMAT </w:instrText>
    </w:r>
    <w:r w:rsidR="001A7764">
      <w:fldChar w:fldCharType="separate"/>
    </w:r>
    <w:r w:rsidR="00832F86">
      <w:rPr>
        <w:noProof/>
      </w:rPr>
      <w:t>2</w:t>
    </w:r>
    <w:r w:rsidR="001A7764">
      <w:rPr>
        <w:noProof/>
      </w:rPr>
      <w:fldChar w:fldCharType="end"/>
    </w:r>
    <w:r w:rsidR="001A7764">
      <w:rPr>
        <w:noProof/>
      </w:rPr>
      <w:t>/</w:t>
    </w:r>
    <w:r w:rsidR="001A7764">
      <w:rPr>
        <w:noProof/>
      </w:rPr>
      <w:fldChar w:fldCharType="begin"/>
    </w:r>
    <w:r w:rsidR="001A7764">
      <w:rPr>
        <w:noProof/>
      </w:rPr>
      <w:instrText xml:space="preserve"> NUMPAGES  \* Arabic  \* MERGEFORMAT </w:instrText>
    </w:r>
    <w:r w:rsidR="001A7764">
      <w:rPr>
        <w:noProof/>
      </w:rPr>
      <w:fldChar w:fldCharType="separate"/>
    </w:r>
    <w:r w:rsidR="00832F86">
      <w:rPr>
        <w:noProof/>
      </w:rPr>
      <w:t>9</w:t>
    </w:r>
    <w:r w:rsidR="001A77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3B8D2" w14:textId="77777777" w:rsidR="000E21A3" w:rsidRDefault="000E21A3" w:rsidP="00816259">
      <w:pPr>
        <w:spacing w:line="240" w:lineRule="auto"/>
      </w:pPr>
      <w:r>
        <w:separator/>
      </w:r>
    </w:p>
  </w:footnote>
  <w:footnote w:type="continuationSeparator" w:id="0">
    <w:p w14:paraId="5BEE892B" w14:textId="77777777" w:rsidR="000E21A3" w:rsidRDefault="000E21A3" w:rsidP="00816259">
      <w:pPr>
        <w:spacing w:line="240" w:lineRule="auto"/>
      </w:pPr>
      <w:r>
        <w:continuationSeparator/>
      </w:r>
    </w:p>
  </w:footnote>
  <w:footnote w:type="continuationNotice" w:id="1">
    <w:p w14:paraId="4F0D4C66" w14:textId="77777777" w:rsidR="000E21A3" w:rsidRDefault="000E21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9BA1" w14:textId="6876B8DD" w:rsidR="001A7764" w:rsidRDefault="00DD15AD">
    <w:pPr>
      <w:pStyle w:val="Sidehoved"/>
    </w:pPr>
    <w:r>
      <w:rPr>
        <w:noProof/>
      </w:rPr>
      <w:drawing>
        <wp:anchor distT="0" distB="0" distL="114300" distR="114300" simplePos="0" relativeHeight="251658240" behindDoc="1" locked="0" layoutInCell="1" allowOverlap="1" wp14:anchorId="1398B8D6" wp14:editId="68E62237">
          <wp:simplePos x="0" y="0"/>
          <wp:positionH relativeFrom="column">
            <wp:posOffset>1998345</wp:posOffset>
          </wp:positionH>
          <wp:positionV relativeFrom="paragraph">
            <wp:posOffset>-25373</wp:posOffset>
          </wp:positionV>
          <wp:extent cx="2115185" cy="413385"/>
          <wp:effectExtent l="0" t="0" r="0" b="5715"/>
          <wp:wrapNone/>
          <wp:docPr id="3" name="Billed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2950" w14:textId="7B4EE926" w:rsidR="00B76583" w:rsidRDefault="00DD15AD">
    <w:pPr>
      <w:pStyle w:val="Sidehoved"/>
    </w:pPr>
    <w:r>
      <w:rPr>
        <w:noProof/>
      </w:rPr>
      <w:drawing>
        <wp:anchor distT="0" distB="0" distL="114300" distR="114300" simplePos="0" relativeHeight="251660288" behindDoc="1" locked="0" layoutInCell="1" allowOverlap="1" wp14:anchorId="1D535835" wp14:editId="5D640066">
          <wp:simplePos x="0" y="0"/>
          <wp:positionH relativeFrom="column">
            <wp:posOffset>1995778</wp:posOffset>
          </wp:positionH>
          <wp:positionV relativeFrom="paragraph">
            <wp:posOffset>0</wp:posOffset>
          </wp:positionV>
          <wp:extent cx="2115185" cy="413385"/>
          <wp:effectExtent l="0" t="0" r="0" b="5715"/>
          <wp:wrapNone/>
          <wp:docPr id="6" name="Billed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F7E0A1D"/>
    <w:multiLevelType w:val="hybridMultilevel"/>
    <w:tmpl w:val="5BFEA72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635E09"/>
    <w:multiLevelType w:val="hybridMultilevel"/>
    <w:tmpl w:val="F0CA291A"/>
    <w:lvl w:ilvl="0" w:tplc="007E2454">
      <w:numFmt w:val="bullet"/>
      <w:lvlText w:val="•"/>
      <w:lvlJc w:val="left"/>
      <w:pPr>
        <w:ind w:left="900" w:hanging="54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2B11F7A"/>
    <w:multiLevelType w:val="hybridMultilevel"/>
    <w:tmpl w:val="23C6EE88"/>
    <w:lvl w:ilvl="0" w:tplc="9CA629FA">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E736FB"/>
    <w:multiLevelType w:val="multilevel"/>
    <w:tmpl w:val="F564944E"/>
    <w:styleLink w:val="PunktfsnitNumbering"/>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lowerLetter"/>
      <w:lvlRestart w:val="0"/>
      <w:pStyle w:val="Punktafsnita"/>
      <w:lvlText w:val="(%5)"/>
      <w:lvlJc w:val="left"/>
      <w:pPr>
        <w:tabs>
          <w:tab w:val="num" w:pos="1701"/>
        </w:tabs>
        <w:ind w:left="1701" w:hanging="709"/>
      </w:pPr>
      <w:rPr>
        <w:rFonts w:hint="default"/>
      </w:rPr>
    </w:lvl>
    <w:lvl w:ilvl="5">
      <w:start w:val="1"/>
      <w:numFmt w:val="lowerRoman"/>
      <w:lvlRestart w:val="0"/>
      <w:pStyle w:val="Punktafsniti"/>
      <w:lvlText w:val="(%6)"/>
      <w:lvlJc w:val="left"/>
      <w:pPr>
        <w:tabs>
          <w:tab w:val="num" w:pos="2410"/>
        </w:tabs>
        <w:ind w:left="2410" w:hanging="709"/>
      </w:pPr>
      <w:rPr>
        <w:rFonts w:hint="default"/>
      </w:rPr>
    </w:lvl>
    <w:lvl w:ilvl="6">
      <w:start w:val="1"/>
      <w:numFmt w:val="upperLetter"/>
      <w:lvlRestart w:val="0"/>
      <w:pStyle w:val="PunktafsnitA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hybridMultilevel"/>
    <w:tmpl w:val="DF427778"/>
    <w:lvl w:ilvl="0" w:tplc="A6360948">
      <w:start w:val="1"/>
      <w:numFmt w:val="decimal"/>
      <w:pStyle w:val="Par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7867F36"/>
    <w:multiLevelType w:val="hybridMultilevel"/>
    <w:tmpl w:val="0F161962"/>
    <w:lvl w:ilvl="0" w:tplc="6FCC73B2">
      <w:numFmt w:val="bullet"/>
      <w:lvlText w:val="-"/>
      <w:lvlJc w:val="left"/>
      <w:pPr>
        <w:ind w:left="4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6CD5785D"/>
    <w:multiLevelType w:val="hybridMultilevel"/>
    <w:tmpl w:val="A80A1A6C"/>
    <w:lvl w:ilvl="0" w:tplc="04060019">
      <w:start w:val="1"/>
      <w:numFmt w:val="lowerLetter"/>
      <w:lvlText w:val="%1."/>
      <w:lvlJc w:val="left"/>
      <w:pPr>
        <w:ind w:left="1035" w:hanging="360"/>
      </w:pPr>
    </w:lvl>
    <w:lvl w:ilvl="1" w:tplc="04060019" w:tentative="1">
      <w:start w:val="1"/>
      <w:numFmt w:val="lowerLetter"/>
      <w:lvlText w:val="%2."/>
      <w:lvlJc w:val="left"/>
      <w:pPr>
        <w:ind w:left="1755" w:hanging="360"/>
      </w:pPr>
    </w:lvl>
    <w:lvl w:ilvl="2" w:tplc="0406001B" w:tentative="1">
      <w:start w:val="1"/>
      <w:numFmt w:val="lowerRoman"/>
      <w:lvlText w:val="%3."/>
      <w:lvlJc w:val="right"/>
      <w:pPr>
        <w:ind w:left="2475" w:hanging="180"/>
      </w:pPr>
    </w:lvl>
    <w:lvl w:ilvl="3" w:tplc="0406000F" w:tentative="1">
      <w:start w:val="1"/>
      <w:numFmt w:val="decimal"/>
      <w:lvlText w:val="%4."/>
      <w:lvlJc w:val="left"/>
      <w:pPr>
        <w:ind w:left="3195" w:hanging="360"/>
      </w:pPr>
    </w:lvl>
    <w:lvl w:ilvl="4" w:tplc="04060019" w:tentative="1">
      <w:start w:val="1"/>
      <w:numFmt w:val="lowerLetter"/>
      <w:lvlText w:val="%5."/>
      <w:lvlJc w:val="left"/>
      <w:pPr>
        <w:ind w:left="3915" w:hanging="360"/>
      </w:pPr>
    </w:lvl>
    <w:lvl w:ilvl="5" w:tplc="0406001B" w:tentative="1">
      <w:start w:val="1"/>
      <w:numFmt w:val="lowerRoman"/>
      <w:lvlText w:val="%6."/>
      <w:lvlJc w:val="right"/>
      <w:pPr>
        <w:ind w:left="4635" w:hanging="180"/>
      </w:pPr>
    </w:lvl>
    <w:lvl w:ilvl="6" w:tplc="0406000F" w:tentative="1">
      <w:start w:val="1"/>
      <w:numFmt w:val="decimal"/>
      <w:lvlText w:val="%7."/>
      <w:lvlJc w:val="left"/>
      <w:pPr>
        <w:ind w:left="5355" w:hanging="360"/>
      </w:pPr>
    </w:lvl>
    <w:lvl w:ilvl="7" w:tplc="04060019" w:tentative="1">
      <w:start w:val="1"/>
      <w:numFmt w:val="lowerLetter"/>
      <w:lvlText w:val="%8."/>
      <w:lvlJc w:val="left"/>
      <w:pPr>
        <w:ind w:left="6075" w:hanging="360"/>
      </w:pPr>
    </w:lvl>
    <w:lvl w:ilvl="8" w:tplc="0406001B" w:tentative="1">
      <w:start w:val="1"/>
      <w:numFmt w:val="lowerRoman"/>
      <w:lvlText w:val="%9."/>
      <w:lvlJc w:val="right"/>
      <w:pPr>
        <w:ind w:left="6795" w:hanging="180"/>
      </w:p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3"/>
  </w:num>
  <w:num w:numId="16">
    <w:abstractNumId w:val="11"/>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14"/>
  </w:num>
  <w:num w:numId="30">
    <w:abstractNumId w:val="14"/>
  </w:num>
  <w:num w:numId="31">
    <w:abstractNumId w:val="14"/>
  </w:num>
  <w:num w:numId="32">
    <w:abstractNumId w:val="15"/>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3"/>
  </w:num>
  <w:num w:numId="42">
    <w:abstractNumId w:val="12"/>
  </w:num>
  <w:num w:numId="43">
    <w:abstractNumId w:val="16"/>
  </w:num>
  <w:num w:numId="44">
    <w:abstractNumId w:val="17"/>
  </w:num>
  <w:num w:numId="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70"/>
    <w:docVar w:name="TMS_Unit_ID" w:val="30"/>
  </w:docVars>
  <w:rsids>
    <w:rsidRoot w:val="001B7EB0"/>
    <w:rsid w:val="00015078"/>
    <w:rsid w:val="0001730F"/>
    <w:rsid w:val="00022613"/>
    <w:rsid w:val="00030623"/>
    <w:rsid w:val="0003357B"/>
    <w:rsid w:val="00034D4D"/>
    <w:rsid w:val="00056A86"/>
    <w:rsid w:val="00061010"/>
    <w:rsid w:val="00066B14"/>
    <w:rsid w:val="00080BB4"/>
    <w:rsid w:val="00081CDA"/>
    <w:rsid w:val="00083C5F"/>
    <w:rsid w:val="000854D5"/>
    <w:rsid w:val="000A0A14"/>
    <w:rsid w:val="000A14C8"/>
    <w:rsid w:val="000C3D44"/>
    <w:rsid w:val="000C40DE"/>
    <w:rsid w:val="000E011D"/>
    <w:rsid w:val="000E21A3"/>
    <w:rsid w:val="000E5FA5"/>
    <w:rsid w:val="000E65BD"/>
    <w:rsid w:val="000F106E"/>
    <w:rsid w:val="0010204D"/>
    <w:rsid w:val="001055CD"/>
    <w:rsid w:val="001138B4"/>
    <w:rsid w:val="00121476"/>
    <w:rsid w:val="001221D1"/>
    <w:rsid w:val="001258BA"/>
    <w:rsid w:val="00133835"/>
    <w:rsid w:val="00151520"/>
    <w:rsid w:val="00154D06"/>
    <w:rsid w:val="00160B80"/>
    <w:rsid w:val="00164AB7"/>
    <w:rsid w:val="00166331"/>
    <w:rsid w:val="00173568"/>
    <w:rsid w:val="00187C6E"/>
    <w:rsid w:val="001931B1"/>
    <w:rsid w:val="001943F6"/>
    <w:rsid w:val="001A1B80"/>
    <w:rsid w:val="001A2918"/>
    <w:rsid w:val="001A7764"/>
    <w:rsid w:val="001B4832"/>
    <w:rsid w:val="001B5A44"/>
    <w:rsid w:val="001B7EB0"/>
    <w:rsid w:val="001C1FF6"/>
    <w:rsid w:val="001C33D1"/>
    <w:rsid w:val="001C757D"/>
    <w:rsid w:val="001D2D6B"/>
    <w:rsid w:val="001D5922"/>
    <w:rsid w:val="001E343A"/>
    <w:rsid w:val="001E7472"/>
    <w:rsid w:val="001E76C0"/>
    <w:rsid w:val="001F1D50"/>
    <w:rsid w:val="001F391C"/>
    <w:rsid w:val="001F532A"/>
    <w:rsid w:val="00207C81"/>
    <w:rsid w:val="00217545"/>
    <w:rsid w:val="00222C80"/>
    <w:rsid w:val="002246DD"/>
    <w:rsid w:val="00234749"/>
    <w:rsid w:val="0023478B"/>
    <w:rsid w:val="002427F6"/>
    <w:rsid w:val="00243536"/>
    <w:rsid w:val="002449FD"/>
    <w:rsid w:val="002458F1"/>
    <w:rsid w:val="0024590C"/>
    <w:rsid w:val="00271AA3"/>
    <w:rsid w:val="00272D08"/>
    <w:rsid w:val="00274B68"/>
    <w:rsid w:val="00281D68"/>
    <w:rsid w:val="00283D33"/>
    <w:rsid w:val="00292199"/>
    <w:rsid w:val="0029376F"/>
    <w:rsid w:val="002A2EED"/>
    <w:rsid w:val="002B0120"/>
    <w:rsid w:val="002C06D1"/>
    <w:rsid w:val="002C0D3B"/>
    <w:rsid w:val="002C1B2A"/>
    <w:rsid w:val="002C41B1"/>
    <w:rsid w:val="002F0368"/>
    <w:rsid w:val="00305FFE"/>
    <w:rsid w:val="00313C7D"/>
    <w:rsid w:val="00321741"/>
    <w:rsid w:val="003218B2"/>
    <w:rsid w:val="003227C4"/>
    <w:rsid w:val="00325B50"/>
    <w:rsid w:val="00332B06"/>
    <w:rsid w:val="00341398"/>
    <w:rsid w:val="00342D06"/>
    <w:rsid w:val="00356521"/>
    <w:rsid w:val="00357E9A"/>
    <w:rsid w:val="00362C37"/>
    <w:rsid w:val="003634BB"/>
    <w:rsid w:val="00365BDF"/>
    <w:rsid w:val="00371A59"/>
    <w:rsid w:val="00375B91"/>
    <w:rsid w:val="003800B5"/>
    <w:rsid w:val="003819EB"/>
    <w:rsid w:val="00382B33"/>
    <w:rsid w:val="00383089"/>
    <w:rsid w:val="00387E36"/>
    <w:rsid w:val="003A1BC2"/>
    <w:rsid w:val="003A2E09"/>
    <w:rsid w:val="003B3F03"/>
    <w:rsid w:val="003B6CA6"/>
    <w:rsid w:val="003B6D51"/>
    <w:rsid w:val="003C3494"/>
    <w:rsid w:val="003C3BD2"/>
    <w:rsid w:val="003D48FD"/>
    <w:rsid w:val="003E361E"/>
    <w:rsid w:val="003F3AEC"/>
    <w:rsid w:val="004006EB"/>
    <w:rsid w:val="0040395A"/>
    <w:rsid w:val="00414184"/>
    <w:rsid w:val="00416F07"/>
    <w:rsid w:val="00417033"/>
    <w:rsid w:val="004235E4"/>
    <w:rsid w:val="0042531E"/>
    <w:rsid w:val="00426D7E"/>
    <w:rsid w:val="004438EF"/>
    <w:rsid w:val="00444999"/>
    <w:rsid w:val="00447590"/>
    <w:rsid w:val="004552F9"/>
    <w:rsid w:val="004642DF"/>
    <w:rsid w:val="00470C18"/>
    <w:rsid w:val="00474445"/>
    <w:rsid w:val="004759EB"/>
    <w:rsid w:val="0048159A"/>
    <w:rsid w:val="004838FB"/>
    <w:rsid w:val="004A0E8D"/>
    <w:rsid w:val="004A2E25"/>
    <w:rsid w:val="004A3603"/>
    <w:rsid w:val="004B07F3"/>
    <w:rsid w:val="004C0E6E"/>
    <w:rsid w:val="004C2E31"/>
    <w:rsid w:val="004C5ADA"/>
    <w:rsid w:val="004D710F"/>
    <w:rsid w:val="004E64F7"/>
    <w:rsid w:val="004E7259"/>
    <w:rsid w:val="004F10CA"/>
    <w:rsid w:val="004F60A4"/>
    <w:rsid w:val="005148EB"/>
    <w:rsid w:val="00521447"/>
    <w:rsid w:val="00523163"/>
    <w:rsid w:val="005249DE"/>
    <w:rsid w:val="00525D94"/>
    <w:rsid w:val="005304E9"/>
    <w:rsid w:val="00531C15"/>
    <w:rsid w:val="00532269"/>
    <w:rsid w:val="005342B6"/>
    <w:rsid w:val="0053581D"/>
    <w:rsid w:val="00536F34"/>
    <w:rsid w:val="00541FBA"/>
    <w:rsid w:val="005478F1"/>
    <w:rsid w:val="00561B59"/>
    <w:rsid w:val="00563E1F"/>
    <w:rsid w:val="00565A31"/>
    <w:rsid w:val="0057387A"/>
    <w:rsid w:val="00582A93"/>
    <w:rsid w:val="00585714"/>
    <w:rsid w:val="005933F0"/>
    <w:rsid w:val="00596556"/>
    <w:rsid w:val="005A0169"/>
    <w:rsid w:val="005A1518"/>
    <w:rsid w:val="005A4094"/>
    <w:rsid w:val="005B0D34"/>
    <w:rsid w:val="005B22A9"/>
    <w:rsid w:val="005B2CD6"/>
    <w:rsid w:val="005B3836"/>
    <w:rsid w:val="005C7EF7"/>
    <w:rsid w:val="005D776A"/>
    <w:rsid w:val="005D7C08"/>
    <w:rsid w:val="005E12BE"/>
    <w:rsid w:val="005E18DB"/>
    <w:rsid w:val="005E5E97"/>
    <w:rsid w:val="006103D6"/>
    <w:rsid w:val="00612F6C"/>
    <w:rsid w:val="0061708E"/>
    <w:rsid w:val="00623C30"/>
    <w:rsid w:val="00623DD7"/>
    <w:rsid w:val="006309B9"/>
    <w:rsid w:val="006313EC"/>
    <w:rsid w:val="0063327C"/>
    <w:rsid w:val="00635B7E"/>
    <w:rsid w:val="006361CA"/>
    <w:rsid w:val="00642BB4"/>
    <w:rsid w:val="00644684"/>
    <w:rsid w:val="00645266"/>
    <w:rsid w:val="00646E0D"/>
    <w:rsid w:val="00647821"/>
    <w:rsid w:val="006506A7"/>
    <w:rsid w:val="006605DD"/>
    <w:rsid w:val="00667D09"/>
    <w:rsid w:val="0068106D"/>
    <w:rsid w:val="006813AF"/>
    <w:rsid w:val="0068174F"/>
    <w:rsid w:val="00681B3E"/>
    <w:rsid w:val="00692184"/>
    <w:rsid w:val="00693EB6"/>
    <w:rsid w:val="006A5253"/>
    <w:rsid w:val="006B1102"/>
    <w:rsid w:val="006C0064"/>
    <w:rsid w:val="006C2E64"/>
    <w:rsid w:val="006C6D0F"/>
    <w:rsid w:val="006D3EDC"/>
    <w:rsid w:val="006D7A94"/>
    <w:rsid w:val="006E01FE"/>
    <w:rsid w:val="006E4878"/>
    <w:rsid w:val="006F35B3"/>
    <w:rsid w:val="006F3EB6"/>
    <w:rsid w:val="00701017"/>
    <w:rsid w:val="00701410"/>
    <w:rsid w:val="007032BA"/>
    <w:rsid w:val="00710A2A"/>
    <w:rsid w:val="00710AF8"/>
    <w:rsid w:val="0071158B"/>
    <w:rsid w:val="007133E7"/>
    <w:rsid w:val="007171AB"/>
    <w:rsid w:val="00724527"/>
    <w:rsid w:val="00726482"/>
    <w:rsid w:val="0074612D"/>
    <w:rsid w:val="00754E07"/>
    <w:rsid w:val="00762C81"/>
    <w:rsid w:val="0076365B"/>
    <w:rsid w:val="007671E2"/>
    <w:rsid w:val="007733DF"/>
    <w:rsid w:val="00777A83"/>
    <w:rsid w:val="0078066A"/>
    <w:rsid w:val="00795A1E"/>
    <w:rsid w:val="007A4686"/>
    <w:rsid w:val="007A7792"/>
    <w:rsid w:val="007C072E"/>
    <w:rsid w:val="007C0998"/>
    <w:rsid w:val="007C2E24"/>
    <w:rsid w:val="007C4218"/>
    <w:rsid w:val="007E1859"/>
    <w:rsid w:val="007F33A9"/>
    <w:rsid w:val="007F7B69"/>
    <w:rsid w:val="0081055F"/>
    <w:rsid w:val="00816259"/>
    <w:rsid w:val="0082379C"/>
    <w:rsid w:val="00824854"/>
    <w:rsid w:val="00824B4D"/>
    <w:rsid w:val="0083251D"/>
    <w:rsid w:val="00832F86"/>
    <w:rsid w:val="00842524"/>
    <w:rsid w:val="00842BBB"/>
    <w:rsid w:val="00845C8E"/>
    <w:rsid w:val="00853060"/>
    <w:rsid w:val="00856233"/>
    <w:rsid w:val="00857C95"/>
    <w:rsid w:val="008604E8"/>
    <w:rsid w:val="00882164"/>
    <w:rsid w:val="00884F6D"/>
    <w:rsid w:val="00891CF3"/>
    <w:rsid w:val="00893955"/>
    <w:rsid w:val="008A01EF"/>
    <w:rsid w:val="008A1BE2"/>
    <w:rsid w:val="008A340D"/>
    <w:rsid w:val="008A3469"/>
    <w:rsid w:val="008A4E51"/>
    <w:rsid w:val="008A7338"/>
    <w:rsid w:val="008B0632"/>
    <w:rsid w:val="008B4446"/>
    <w:rsid w:val="008C1186"/>
    <w:rsid w:val="008C18F0"/>
    <w:rsid w:val="008C6C59"/>
    <w:rsid w:val="008D7BBC"/>
    <w:rsid w:val="00902624"/>
    <w:rsid w:val="00902C60"/>
    <w:rsid w:val="0091645C"/>
    <w:rsid w:val="00942B1C"/>
    <w:rsid w:val="00950D50"/>
    <w:rsid w:val="00952A3C"/>
    <w:rsid w:val="00954052"/>
    <w:rsid w:val="009552BC"/>
    <w:rsid w:val="00955C80"/>
    <w:rsid w:val="00957EE8"/>
    <w:rsid w:val="0096060C"/>
    <w:rsid w:val="00966CA5"/>
    <w:rsid w:val="00970E7C"/>
    <w:rsid w:val="00971A20"/>
    <w:rsid w:val="00975365"/>
    <w:rsid w:val="00976681"/>
    <w:rsid w:val="00986E9C"/>
    <w:rsid w:val="00987ADB"/>
    <w:rsid w:val="00990C33"/>
    <w:rsid w:val="009910B0"/>
    <w:rsid w:val="009B18AF"/>
    <w:rsid w:val="009B400F"/>
    <w:rsid w:val="009B44A4"/>
    <w:rsid w:val="009B612D"/>
    <w:rsid w:val="009C112F"/>
    <w:rsid w:val="009C1FC1"/>
    <w:rsid w:val="009D739F"/>
    <w:rsid w:val="009E2953"/>
    <w:rsid w:val="00A007B5"/>
    <w:rsid w:val="00A03716"/>
    <w:rsid w:val="00A03B3C"/>
    <w:rsid w:val="00A14C79"/>
    <w:rsid w:val="00A1741E"/>
    <w:rsid w:val="00A21754"/>
    <w:rsid w:val="00A26EAF"/>
    <w:rsid w:val="00A35E3C"/>
    <w:rsid w:val="00A43CDA"/>
    <w:rsid w:val="00A46C7C"/>
    <w:rsid w:val="00A507F2"/>
    <w:rsid w:val="00A64B65"/>
    <w:rsid w:val="00A8428A"/>
    <w:rsid w:val="00A84CB3"/>
    <w:rsid w:val="00A85FEE"/>
    <w:rsid w:val="00A87EB2"/>
    <w:rsid w:val="00AA286A"/>
    <w:rsid w:val="00AA2F7A"/>
    <w:rsid w:val="00AC5130"/>
    <w:rsid w:val="00AC6C00"/>
    <w:rsid w:val="00AE2C4C"/>
    <w:rsid w:val="00AE4691"/>
    <w:rsid w:val="00AE66D1"/>
    <w:rsid w:val="00AF45C5"/>
    <w:rsid w:val="00AF4BF6"/>
    <w:rsid w:val="00AF6B7A"/>
    <w:rsid w:val="00B01BFA"/>
    <w:rsid w:val="00B048FF"/>
    <w:rsid w:val="00B12789"/>
    <w:rsid w:val="00B15D0B"/>
    <w:rsid w:val="00B1733F"/>
    <w:rsid w:val="00B23FCA"/>
    <w:rsid w:val="00B25B44"/>
    <w:rsid w:val="00B31A54"/>
    <w:rsid w:val="00B35658"/>
    <w:rsid w:val="00B435DF"/>
    <w:rsid w:val="00B4588B"/>
    <w:rsid w:val="00B45995"/>
    <w:rsid w:val="00B51679"/>
    <w:rsid w:val="00B573B0"/>
    <w:rsid w:val="00B6540B"/>
    <w:rsid w:val="00B71B6B"/>
    <w:rsid w:val="00B72F4D"/>
    <w:rsid w:val="00B73564"/>
    <w:rsid w:val="00B75CED"/>
    <w:rsid w:val="00B75F84"/>
    <w:rsid w:val="00B76583"/>
    <w:rsid w:val="00B81671"/>
    <w:rsid w:val="00B92C59"/>
    <w:rsid w:val="00B93B23"/>
    <w:rsid w:val="00BA0ABF"/>
    <w:rsid w:val="00BA57FF"/>
    <w:rsid w:val="00BC0C25"/>
    <w:rsid w:val="00BC2091"/>
    <w:rsid w:val="00BC2414"/>
    <w:rsid w:val="00BC322B"/>
    <w:rsid w:val="00BC3E4C"/>
    <w:rsid w:val="00BC5B72"/>
    <w:rsid w:val="00BD4694"/>
    <w:rsid w:val="00BE3105"/>
    <w:rsid w:val="00BE7C32"/>
    <w:rsid w:val="00BF746B"/>
    <w:rsid w:val="00BF7B6C"/>
    <w:rsid w:val="00BF7F47"/>
    <w:rsid w:val="00C22702"/>
    <w:rsid w:val="00C32FBB"/>
    <w:rsid w:val="00C366D8"/>
    <w:rsid w:val="00C5310F"/>
    <w:rsid w:val="00C648EB"/>
    <w:rsid w:val="00C663A9"/>
    <w:rsid w:val="00C709A2"/>
    <w:rsid w:val="00C978C0"/>
    <w:rsid w:val="00CA42A0"/>
    <w:rsid w:val="00CA671C"/>
    <w:rsid w:val="00CC4924"/>
    <w:rsid w:val="00CC4A8D"/>
    <w:rsid w:val="00CD24A4"/>
    <w:rsid w:val="00CD3CF8"/>
    <w:rsid w:val="00CD6073"/>
    <w:rsid w:val="00CD6E73"/>
    <w:rsid w:val="00CD7625"/>
    <w:rsid w:val="00CE0743"/>
    <w:rsid w:val="00CF3F77"/>
    <w:rsid w:val="00D00E2F"/>
    <w:rsid w:val="00D058F8"/>
    <w:rsid w:val="00D1077F"/>
    <w:rsid w:val="00D2459A"/>
    <w:rsid w:val="00D36E12"/>
    <w:rsid w:val="00D41015"/>
    <w:rsid w:val="00D42DC9"/>
    <w:rsid w:val="00D44B73"/>
    <w:rsid w:val="00D47553"/>
    <w:rsid w:val="00D64249"/>
    <w:rsid w:val="00D71F04"/>
    <w:rsid w:val="00D7337B"/>
    <w:rsid w:val="00D85621"/>
    <w:rsid w:val="00D907B8"/>
    <w:rsid w:val="00D921B9"/>
    <w:rsid w:val="00D93017"/>
    <w:rsid w:val="00D9324D"/>
    <w:rsid w:val="00DA13E8"/>
    <w:rsid w:val="00DB03CD"/>
    <w:rsid w:val="00DB1DF4"/>
    <w:rsid w:val="00DD15AD"/>
    <w:rsid w:val="00DD19A4"/>
    <w:rsid w:val="00DD75C4"/>
    <w:rsid w:val="00DD7605"/>
    <w:rsid w:val="00DE6B99"/>
    <w:rsid w:val="00E00A69"/>
    <w:rsid w:val="00E05A0F"/>
    <w:rsid w:val="00E0696B"/>
    <w:rsid w:val="00E10CBA"/>
    <w:rsid w:val="00E125B3"/>
    <w:rsid w:val="00E139D1"/>
    <w:rsid w:val="00E16EEE"/>
    <w:rsid w:val="00E20F2C"/>
    <w:rsid w:val="00E22D71"/>
    <w:rsid w:val="00E234EB"/>
    <w:rsid w:val="00E3030E"/>
    <w:rsid w:val="00E32A00"/>
    <w:rsid w:val="00E619E2"/>
    <w:rsid w:val="00E61A94"/>
    <w:rsid w:val="00E7408C"/>
    <w:rsid w:val="00E74643"/>
    <w:rsid w:val="00E83BAB"/>
    <w:rsid w:val="00E93098"/>
    <w:rsid w:val="00EA4EEA"/>
    <w:rsid w:val="00EB23EA"/>
    <w:rsid w:val="00EB476B"/>
    <w:rsid w:val="00EC241D"/>
    <w:rsid w:val="00EC3B8E"/>
    <w:rsid w:val="00ED0462"/>
    <w:rsid w:val="00ED4BBB"/>
    <w:rsid w:val="00ED6901"/>
    <w:rsid w:val="00EE6535"/>
    <w:rsid w:val="00EE672A"/>
    <w:rsid w:val="00EF53F5"/>
    <w:rsid w:val="00F0449E"/>
    <w:rsid w:val="00F04A41"/>
    <w:rsid w:val="00F077E0"/>
    <w:rsid w:val="00F078B3"/>
    <w:rsid w:val="00F279E0"/>
    <w:rsid w:val="00F32958"/>
    <w:rsid w:val="00F513DB"/>
    <w:rsid w:val="00F53989"/>
    <w:rsid w:val="00F549AF"/>
    <w:rsid w:val="00F56892"/>
    <w:rsid w:val="00F60D51"/>
    <w:rsid w:val="00F6179B"/>
    <w:rsid w:val="00F63706"/>
    <w:rsid w:val="00F669A5"/>
    <w:rsid w:val="00F72C1F"/>
    <w:rsid w:val="00F7471E"/>
    <w:rsid w:val="00F83BF5"/>
    <w:rsid w:val="00F94146"/>
    <w:rsid w:val="00FA52F6"/>
    <w:rsid w:val="00FA7AD1"/>
    <w:rsid w:val="00FB10E1"/>
    <w:rsid w:val="00FB22A3"/>
    <w:rsid w:val="00FB236E"/>
    <w:rsid w:val="00FB3670"/>
    <w:rsid w:val="00FB3A3F"/>
    <w:rsid w:val="00FB5DF1"/>
    <w:rsid w:val="00FC16FF"/>
    <w:rsid w:val="00FC31AE"/>
    <w:rsid w:val="00FC625F"/>
    <w:rsid w:val="00FC7B64"/>
    <w:rsid w:val="00FD742E"/>
    <w:rsid w:val="00FE28A4"/>
    <w:rsid w:val="00FE3BE4"/>
    <w:rsid w:val="00FE5149"/>
    <w:rsid w:val="00FE51BA"/>
    <w:rsid w:val="00FE5F11"/>
    <w:rsid w:val="00FF2EA1"/>
    <w:rsid w:val="00FF4259"/>
    <w:rsid w:val="00FF6771"/>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032DB"/>
  <w15:docId w15:val="{41145BFF-732C-4868-8DAC-7AE2DEC3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AD"/>
    <w:pPr>
      <w:overflowPunct w:val="0"/>
      <w:autoSpaceDE w:val="0"/>
      <w:autoSpaceDN w:val="0"/>
      <w:adjustRightInd w:val="0"/>
      <w:spacing w:after="0"/>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BE7C32"/>
    <w:pPr>
      <w:keepNext/>
      <w:numPr>
        <w:numId w:val="40"/>
      </w:numPr>
      <w:spacing w:after="300"/>
      <w:outlineLvl w:val="0"/>
    </w:pPr>
    <w:rPr>
      <w:b/>
      <w:caps/>
      <w:lang w:val="en-US"/>
    </w:rPr>
  </w:style>
  <w:style w:type="paragraph" w:styleId="Overskrift2">
    <w:name w:val="heading 2"/>
    <w:basedOn w:val="Normal"/>
    <w:next w:val="Normal"/>
    <w:link w:val="Overskrift2Tegn"/>
    <w:qFormat/>
    <w:rsid w:val="00BE7C32"/>
    <w:pPr>
      <w:keepNext/>
      <w:numPr>
        <w:ilvl w:val="1"/>
        <w:numId w:val="40"/>
      </w:numPr>
      <w:spacing w:after="300"/>
      <w:outlineLvl w:val="1"/>
    </w:pPr>
    <w:rPr>
      <w:b/>
      <w:bCs w:val="0"/>
      <w:iCs/>
      <w:szCs w:val="28"/>
    </w:rPr>
  </w:style>
  <w:style w:type="paragraph" w:styleId="Overskrift3">
    <w:name w:val="heading 3"/>
    <w:basedOn w:val="Normal"/>
    <w:next w:val="Normal"/>
    <w:link w:val="Overskrift3Tegn"/>
    <w:qFormat/>
    <w:rsid w:val="00BE7C32"/>
    <w:pPr>
      <w:keepNext/>
      <w:numPr>
        <w:ilvl w:val="2"/>
        <w:numId w:val="40"/>
      </w:numPr>
      <w:spacing w:after="300"/>
      <w:outlineLvl w:val="2"/>
    </w:pPr>
    <w:rPr>
      <w:b/>
      <w:bCs w:val="0"/>
      <w:i/>
      <w:szCs w:val="26"/>
    </w:rPr>
  </w:style>
  <w:style w:type="paragraph" w:styleId="Overskrift4">
    <w:name w:val="heading 4"/>
    <w:basedOn w:val="Normal"/>
    <w:next w:val="Normal"/>
    <w:link w:val="Overskrift4Tegn"/>
    <w:qFormat/>
    <w:rsid w:val="00BE7C32"/>
    <w:pPr>
      <w:keepNext/>
      <w:numPr>
        <w:ilvl w:val="3"/>
        <w:numId w:val="40"/>
      </w:numPr>
      <w:spacing w:after="300"/>
      <w:outlineLvl w:val="3"/>
    </w:pPr>
    <w:rPr>
      <w:i/>
      <w:szCs w:val="28"/>
    </w:rPr>
  </w:style>
  <w:style w:type="paragraph" w:styleId="Overskrift5">
    <w:name w:val="heading 5"/>
    <w:basedOn w:val="Overskrift1"/>
    <w:next w:val="Normal"/>
    <w:link w:val="Overskrift5Tegn"/>
    <w:qFormat/>
    <w:rsid w:val="00BE7C32"/>
    <w:pPr>
      <w:numPr>
        <w:numId w:val="0"/>
      </w:numPr>
      <w:outlineLvl w:val="4"/>
    </w:pPr>
    <w:rPr>
      <w:bCs w:val="0"/>
      <w:iCs/>
      <w:szCs w:val="26"/>
    </w:rPr>
  </w:style>
  <w:style w:type="paragraph" w:styleId="Overskrift6">
    <w:name w:val="heading 6"/>
    <w:basedOn w:val="Overskrift2"/>
    <w:next w:val="Normal"/>
    <w:link w:val="Overskrift6Tegn"/>
    <w:qFormat/>
    <w:rsid w:val="00BE7C32"/>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BE7C32"/>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BE7C32"/>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BE7C32"/>
    <w:pPr>
      <w:keepNext/>
      <w:spacing w:after="300"/>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E7C32"/>
  </w:style>
  <w:style w:type="character" w:customStyle="1" w:styleId="SidehovedTegn">
    <w:name w:val="Sidehoved Tegn"/>
    <w:basedOn w:val="Standardskrifttypeiafsnit"/>
    <w:link w:val="Sidehoved"/>
    <w:uiPriority w:val="99"/>
    <w:rsid w:val="00BE7C32"/>
    <w:rPr>
      <w:rFonts w:ascii="Times New Roman" w:eastAsia="Times New Roman" w:hAnsi="Times New Roman" w:cs="Times New Roman"/>
      <w:bCs/>
      <w:sz w:val="23"/>
      <w:szCs w:val="20"/>
    </w:rPr>
  </w:style>
  <w:style w:type="paragraph" w:styleId="Sidefod">
    <w:name w:val="footer"/>
    <w:basedOn w:val="Normal"/>
    <w:link w:val="SidefodTegn"/>
    <w:uiPriority w:val="99"/>
    <w:rsid w:val="00BE7C32"/>
    <w:pPr>
      <w:jc w:val="center"/>
    </w:pPr>
    <w:rPr>
      <w:sz w:val="14"/>
    </w:rPr>
  </w:style>
  <w:style w:type="character" w:customStyle="1" w:styleId="SidefodTegn">
    <w:name w:val="Sidefod Tegn"/>
    <w:basedOn w:val="Standardskrifttypeiafsnit"/>
    <w:link w:val="Sidefod"/>
    <w:uiPriority w:val="99"/>
    <w:rsid w:val="00BE7C32"/>
    <w:rPr>
      <w:rFonts w:ascii="Times New Roman" w:eastAsia="Times New Roman" w:hAnsi="Times New Roman" w:cs="Times New Roman"/>
      <w:bCs/>
      <w:sz w:val="14"/>
      <w:szCs w:val="20"/>
    </w:rPr>
  </w:style>
  <w:style w:type="paragraph" w:customStyle="1" w:styleId="DatoFelt">
    <w:name w:val="DatoFelt"/>
    <w:basedOn w:val="Normal"/>
    <w:next w:val="Normal"/>
    <w:qFormat/>
    <w:rsid w:val="00BE7C32"/>
    <w:pPr>
      <w:spacing w:after="200" w:line="220" w:lineRule="exact"/>
    </w:pPr>
    <w:rPr>
      <w:b/>
      <w:caps/>
      <w:sz w:val="16"/>
      <w:szCs w:val="16"/>
    </w:rPr>
  </w:style>
  <w:style w:type="paragraph" w:customStyle="1" w:styleId="SagsnrFelt">
    <w:name w:val="SagsnrFelt"/>
    <w:basedOn w:val="DatoFelt"/>
    <w:next w:val="DirekteOplysninger"/>
    <w:qFormat/>
    <w:rsid w:val="00BE7C32"/>
    <w:rPr>
      <w:b w:val="0"/>
      <w:caps w:val="0"/>
    </w:rPr>
  </w:style>
  <w:style w:type="table" w:styleId="Tabel-Gitter">
    <w:name w:val="Table Grid"/>
    <w:basedOn w:val="Tabel-Normal"/>
    <w:rsid w:val="00BE7C32"/>
    <w:pPr>
      <w:spacing w:after="160" w:line="300" w:lineRule="exact"/>
      <w:ind w:right="851"/>
      <w:jc w:val="both"/>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rsid w:val="00BE7C32"/>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BE7C32"/>
    <w:rPr>
      <w:rFonts w:ascii="Times New Roman" w:eastAsia="Times New Roman" w:hAnsi="Times New Roman" w:cs="Tahoma"/>
      <w:bCs/>
      <w:sz w:val="16"/>
      <w:szCs w:val="16"/>
    </w:rPr>
  </w:style>
  <w:style w:type="paragraph" w:customStyle="1" w:styleId="AdresseOplysninger">
    <w:name w:val="AdresseOplysninger"/>
    <w:basedOn w:val="Normal"/>
    <w:link w:val="AdresseOplysningerTegn"/>
    <w:qFormat/>
    <w:rsid w:val="00BE7C32"/>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BE7C32"/>
    <w:rPr>
      <w:rFonts w:ascii="Times New Roman" w:eastAsia="Times New Roman" w:hAnsi="Times New Roman" w:cs="Times New Roman"/>
      <w:bCs/>
      <w:sz w:val="16"/>
      <w:szCs w:val="20"/>
    </w:rPr>
  </w:style>
  <w:style w:type="character" w:styleId="Pladsholdertekst">
    <w:name w:val="Placeholder Text"/>
    <w:basedOn w:val="Standardskrifttypeiafsnit"/>
    <w:uiPriority w:val="99"/>
    <w:semiHidden/>
    <w:rsid w:val="00BE7C32"/>
    <w:rPr>
      <w:color w:val="FFFFFF"/>
    </w:rPr>
  </w:style>
  <w:style w:type="character" w:customStyle="1" w:styleId="Overskrift5Tegn">
    <w:name w:val="Overskrift 5 Tegn"/>
    <w:basedOn w:val="Standardskrifttypeiafsnit"/>
    <w:link w:val="Overskrift5"/>
    <w:rsid w:val="00BE7C32"/>
    <w:rPr>
      <w:rFonts w:ascii="Times New Roman" w:eastAsia="Times New Roman" w:hAnsi="Times New Roman" w:cs="Times New Roman"/>
      <w:b/>
      <w:iCs/>
      <w:caps/>
      <w:sz w:val="23"/>
      <w:szCs w:val="26"/>
      <w:lang w:val="en-US"/>
    </w:rPr>
  </w:style>
  <w:style w:type="paragraph" w:styleId="Indholdsfortegnelse1">
    <w:name w:val="toc 1"/>
    <w:basedOn w:val="Normal"/>
    <w:next w:val="Normal"/>
    <w:uiPriority w:val="39"/>
    <w:rsid w:val="00BE7C32"/>
    <w:pPr>
      <w:tabs>
        <w:tab w:val="right" w:pos="9639"/>
      </w:tabs>
      <w:spacing w:line="348" w:lineRule="auto"/>
      <w:ind w:left="567" w:right="-1" w:hanging="567"/>
      <w:jc w:val="left"/>
    </w:pPr>
    <w:rPr>
      <w:caps/>
      <w:noProof/>
      <w:sz w:val="19"/>
      <w:lang w:val="en-GB"/>
    </w:rPr>
  </w:style>
  <w:style w:type="character" w:customStyle="1" w:styleId="Overskrift1Tegn">
    <w:name w:val="Overskrift 1 Tegn"/>
    <w:basedOn w:val="Standardskrifttypeiafsnit"/>
    <w:link w:val="Overskrift1"/>
    <w:rsid w:val="00BE7C32"/>
    <w:rPr>
      <w:rFonts w:ascii="Times New Roman" w:eastAsia="Times New Roman" w:hAnsi="Times New Roman" w:cs="Times New Roman"/>
      <w:b/>
      <w:bCs/>
      <w:caps/>
      <w:sz w:val="23"/>
      <w:szCs w:val="20"/>
      <w:lang w:val="en-US"/>
    </w:rPr>
  </w:style>
  <w:style w:type="character" w:customStyle="1" w:styleId="Overskrift2Tegn">
    <w:name w:val="Overskrift 2 Tegn"/>
    <w:basedOn w:val="Standardskrifttypeiafsnit"/>
    <w:link w:val="Overskrift2"/>
    <w:rsid w:val="00BE7C32"/>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BE7C32"/>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BE7C32"/>
    <w:rPr>
      <w:rFonts w:ascii="Times New Roman" w:eastAsia="Times New Roman" w:hAnsi="Times New Roman" w:cs="Times New Roman"/>
      <w:bCs/>
      <w:i/>
      <w:sz w:val="23"/>
      <w:szCs w:val="28"/>
    </w:rPr>
  </w:style>
  <w:style w:type="paragraph" w:customStyle="1" w:styleId="Punktafsnit2">
    <w:name w:val="Punktafsnit 2"/>
    <w:basedOn w:val="Overskrift2"/>
    <w:qFormat/>
    <w:rsid w:val="00BE7C32"/>
    <w:pPr>
      <w:keepNext w:val="0"/>
    </w:pPr>
    <w:rPr>
      <w:b w:val="0"/>
    </w:rPr>
  </w:style>
  <w:style w:type="paragraph" w:customStyle="1" w:styleId="Punktafsnit3">
    <w:name w:val="Punktafsnit 3"/>
    <w:basedOn w:val="Overskrift3"/>
    <w:qFormat/>
    <w:rsid w:val="00BE7C32"/>
    <w:pPr>
      <w:keepNext w:val="0"/>
    </w:pPr>
    <w:rPr>
      <w:b w:val="0"/>
      <w:i w:val="0"/>
    </w:rPr>
  </w:style>
  <w:style w:type="paragraph" w:customStyle="1" w:styleId="Punktafsnita">
    <w:name w:val="Punktafsnit a)"/>
    <w:basedOn w:val="Punktafsnit2"/>
    <w:qFormat/>
    <w:rsid w:val="00BE7C32"/>
    <w:pPr>
      <w:numPr>
        <w:ilvl w:val="4"/>
      </w:numPr>
      <w:spacing w:line="300" w:lineRule="exact"/>
      <w:outlineLvl w:val="9"/>
    </w:pPr>
    <w:rPr>
      <w:lang w:val="en-US"/>
    </w:rPr>
  </w:style>
  <w:style w:type="paragraph" w:customStyle="1" w:styleId="Punktafsniti">
    <w:name w:val="Punktafsnit i)"/>
    <w:basedOn w:val="Punktafsnita"/>
    <w:qFormat/>
    <w:rsid w:val="00BE7C32"/>
    <w:pPr>
      <w:numPr>
        <w:ilvl w:val="5"/>
      </w:numPr>
    </w:pPr>
  </w:style>
  <w:style w:type="paragraph" w:customStyle="1" w:styleId="PunktafsnitAlmtekst">
    <w:name w:val="Punktafsnit (Alm. tekst)"/>
    <w:basedOn w:val="PunktafsnitIndrykkettekst"/>
    <w:qFormat/>
    <w:rsid w:val="00BE7C32"/>
    <w:pPr>
      <w:tabs>
        <w:tab w:val="clear" w:pos="993"/>
        <w:tab w:val="left" w:pos="992"/>
      </w:tabs>
      <w:ind w:left="0"/>
    </w:pPr>
    <w:rPr>
      <w:lang w:val="en-US"/>
    </w:rPr>
  </w:style>
  <w:style w:type="paragraph" w:customStyle="1" w:styleId="PunktafsnitA0">
    <w:name w:val="Punktafsnit A)"/>
    <w:basedOn w:val="Punktafsnita"/>
    <w:qFormat/>
    <w:rsid w:val="00BE7C32"/>
    <w:pPr>
      <w:numPr>
        <w:ilvl w:val="6"/>
      </w:numPr>
    </w:pPr>
  </w:style>
  <w:style w:type="paragraph" w:customStyle="1" w:styleId="Parter">
    <w:name w:val="Parter"/>
    <w:basedOn w:val="PunktafsnitAlmtekst"/>
    <w:qFormat/>
    <w:rsid w:val="00CD3CF8"/>
    <w:pPr>
      <w:numPr>
        <w:numId w:val="32"/>
      </w:numPr>
      <w:ind w:left="993" w:hanging="993"/>
    </w:pPr>
  </w:style>
  <w:style w:type="numbering" w:customStyle="1" w:styleId="PunktfsnitNumbering">
    <w:name w:val="Punktfsnit Numbering"/>
    <w:uiPriority w:val="99"/>
    <w:rsid w:val="00BE7C32"/>
    <w:pPr>
      <w:numPr>
        <w:numId w:val="1"/>
      </w:numPr>
    </w:pPr>
  </w:style>
  <w:style w:type="paragraph" w:customStyle="1" w:styleId="adresseskrift">
    <w:name w:val="adresseskrift"/>
    <w:basedOn w:val="Normal"/>
    <w:rsid w:val="00BE7C32"/>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BE7C32"/>
    <w:pPr>
      <w:tabs>
        <w:tab w:val="left" w:pos="737"/>
      </w:tabs>
    </w:pPr>
    <w:rPr>
      <w:rFonts w:cs="Arial"/>
      <w:sz w:val="19"/>
      <w:szCs w:val="24"/>
    </w:rPr>
  </w:style>
  <w:style w:type="character" w:customStyle="1" w:styleId="BrevhovedTegn">
    <w:name w:val="Brevhoved Tegn"/>
    <w:basedOn w:val="Standardskrifttypeiafsnit"/>
    <w:link w:val="Brevhoved"/>
    <w:rsid w:val="00BE7C32"/>
    <w:rPr>
      <w:rFonts w:ascii="Times New Roman" w:eastAsia="Times New Roman" w:hAnsi="Times New Roman" w:cs="Arial"/>
      <w:bCs/>
      <w:sz w:val="19"/>
      <w:szCs w:val="24"/>
    </w:rPr>
  </w:style>
  <w:style w:type="paragraph" w:customStyle="1" w:styleId="Brevoverskrift">
    <w:name w:val="Brevoverskrift"/>
    <w:basedOn w:val="Normal"/>
    <w:rsid w:val="00BE7C32"/>
    <w:rPr>
      <w:b/>
      <w:bCs w:val="0"/>
    </w:rPr>
  </w:style>
  <w:style w:type="paragraph" w:customStyle="1" w:styleId="Default">
    <w:name w:val="Default"/>
    <w:rsid w:val="00BE7C32"/>
    <w:pPr>
      <w:autoSpaceDE w:val="0"/>
      <w:autoSpaceDN w:val="0"/>
      <w:adjustRightInd w:val="0"/>
      <w:spacing w:after="160" w:line="300" w:lineRule="exact"/>
      <w:ind w:right="851"/>
      <w:jc w:val="both"/>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BE7C32"/>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BE7C32"/>
    <w:pPr>
      <w:spacing w:line="240" w:lineRule="auto"/>
    </w:pPr>
    <w:rPr>
      <w:sz w:val="16"/>
      <w:szCs w:val="16"/>
    </w:rPr>
  </w:style>
  <w:style w:type="paragraph" w:customStyle="1" w:styleId="Flytning">
    <w:name w:val="Flytning"/>
    <w:basedOn w:val="Normal"/>
    <w:rsid w:val="00BE7C32"/>
    <w:pPr>
      <w:spacing w:line="240" w:lineRule="auto"/>
      <w:jc w:val="right"/>
    </w:pPr>
    <w:rPr>
      <w:b/>
    </w:rPr>
  </w:style>
  <w:style w:type="paragraph" w:customStyle="1" w:styleId="Flytning2">
    <w:name w:val="Flytning2"/>
    <w:basedOn w:val="Flytning"/>
    <w:rsid w:val="00BE7C32"/>
    <w:pPr>
      <w:spacing w:before="120"/>
    </w:pPr>
    <w:rPr>
      <w:b w:val="0"/>
    </w:rPr>
  </w:style>
  <w:style w:type="character" w:styleId="Fodnotehenvisning">
    <w:name w:val="footnote reference"/>
    <w:basedOn w:val="Standardskrifttypeiafsnit"/>
    <w:semiHidden/>
    <w:rsid w:val="00BE7C32"/>
    <w:rPr>
      <w:sz w:val="17"/>
      <w:vertAlign w:val="superscript"/>
    </w:rPr>
  </w:style>
  <w:style w:type="paragraph" w:styleId="Fodnotetekst">
    <w:name w:val="footnote text"/>
    <w:basedOn w:val="Normal"/>
    <w:link w:val="FodnotetekstTegn"/>
    <w:semiHidden/>
    <w:rsid w:val="00BE7C32"/>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BE7C32"/>
    <w:rPr>
      <w:rFonts w:ascii="Times New Roman" w:eastAsia="Times New Roman" w:hAnsi="Times New Roman" w:cs="Times New Roman"/>
      <w:sz w:val="17"/>
      <w:szCs w:val="23"/>
    </w:rPr>
  </w:style>
  <w:style w:type="paragraph" w:styleId="Indholdsfortegnelse2">
    <w:name w:val="toc 2"/>
    <w:basedOn w:val="Normal"/>
    <w:next w:val="Normal"/>
    <w:semiHidden/>
    <w:rsid w:val="00BE7C32"/>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BE7C32"/>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BE7C32"/>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BE7C32"/>
    <w:pPr>
      <w:ind w:left="720"/>
    </w:pPr>
  </w:style>
  <w:style w:type="paragraph" w:styleId="Indholdsfortegnelse6">
    <w:name w:val="toc 6"/>
    <w:basedOn w:val="Normal"/>
    <w:next w:val="Normal"/>
    <w:autoRedefine/>
    <w:semiHidden/>
    <w:rsid w:val="00BE7C32"/>
    <w:pPr>
      <w:ind w:left="900"/>
    </w:pPr>
  </w:style>
  <w:style w:type="paragraph" w:styleId="Indholdsfortegnelse7">
    <w:name w:val="toc 7"/>
    <w:basedOn w:val="Normal"/>
    <w:next w:val="Normal"/>
    <w:autoRedefine/>
    <w:semiHidden/>
    <w:rsid w:val="00BE7C32"/>
    <w:pPr>
      <w:ind w:left="1080"/>
    </w:pPr>
  </w:style>
  <w:style w:type="paragraph" w:styleId="Indholdsfortegnelse8">
    <w:name w:val="toc 8"/>
    <w:basedOn w:val="Normal"/>
    <w:next w:val="Normal"/>
    <w:autoRedefine/>
    <w:semiHidden/>
    <w:rsid w:val="00BE7C32"/>
    <w:pPr>
      <w:ind w:left="1260"/>
    </w:pPr>
  </w:style>
  <w:style w:type="paragraph" w:styleId="Indholdsfortegnelse9">
    <w:name w:val="toc 9"/>
    <w:basedOn w:val="Normal"/>
    <w:next w:val="Normal"/>
    <w:autoRedefine/>
    <w:semiHidden/>
    <w:rsid w:val="00BE7C32"/>
    <w:pPr>
      <w:ind w:left="1440"/>
    </w:pPr>
  </w:style>
  <w:style w:type="paragraph" w:customStyle="1" w:styleId="Indlg">
    <w:name w:val="Indlæg"/>
    <w:basedOn w:val="Normal"/>
    <w:autoRedefine/>
    <w:qFormat/>
    <w:rsid w:val="00BE7C32"/>
    <w:pPr>
      <w:numPr>
        <w:numId w:val="17"/>
      </w:numPr>
      <w:overflowPunct/>
      <w:autoSpaceDE/>
      <w:autoSpaceDN/>
      <w:adjustRightInd/>
      <w:spacing w:after="300"/>
      <w:textAlignment w:val="auto"/>
    </w:pPr>
    <w:rPr>
      <w:bCs w:val="0"/>
      <w:szCs w:val="23"/>
    </w:rPr>
  </w:style>
  <w:style w:type="paragraph" w:customStyle="1" w:styleId="Indlgafsnit">
    <w:name w:val="Indlæg afsnit"/>
    <w:basedOn w:val="Indlg"/>
    <w:qFormat/>
    <w:rsid w:val="00BE7C32"/>
    <w:pPr>
      <w:numPr>
        <w:ilvl w:val="1"/>
      </w:numPr>
    </w:pPr>
  </w:style>
  <w:style w:type="character" w:styleId="Kommentarhenvisning">
    <w:name w:val="annotation reference"/>
    <w:basedOn w:val="Standardskrifttypeiafsnit"/>
    <w:rsid w:val="00BE7C32"/>
    <w:rPr>
      <w:sz w:val="16"/>
      <w:szCs w:val="16"/>
    </w:rPr>
  </w:style>
  <w:style w:type="paragraph" w:styleId="Kommentartekst">
    <w:name w:val="annotation text"/>
    <w:basedOn w:val="Normal"/>
    <w:link w:val="KommentartekstTegn"/>
    <w:semiHidden/>
    <w:rsid w:val="00BE7C32"/>
  </w:style>
  <w:style w:type="character" w:customStyle="1" w:styleId="KommentartekstTegn">
    <w:name w:val="Kommentartekst Tegn"/>
    <w:basedOn w:val="Standardskrifttypeiafsnit"/>
    <w:link w:val="Kommentartekst"/>
    <w:semiHidden/>
    <w:rsid w:val="00BE7C32"/>
    <w:rPr>
      <w:rFonts w:ascii="Times New Roman" w:eastAsia="Times New Roman" w:hAnsi="Times New Roman" w:cs="Times New Roman"/>
      <w:bCs/>
      <w:sz w:val="23"/>
      <w:szCs w:val="20"/>
    </w:rPr>
  </w:style>
  <w:style w:type="character" w:styleId="Linjenummer">
    <w:name w:val="line number"/>
    <w:basedOn w:val="Standardskrifttypeiafsnit"/>
    <w:rsid w:val="00BE7C32"/>
  </w:style>
  <w:style w:type="paragraph" w:styleId="Listeafsnit">
    <w:name w:val="List Paragraph"/>
    <w:basedOn w:val="Normal"/>
    <w:link w:val="ListeafsnitTegn"/>
    <w:uiPriority w:val="34"/>
    <w:qFormat/>
    <w:rsid w:val="00BE7C32"/>
    <w:pPr>
      <w:ind w:left="720"/>
      <w:contextualSpacing/>
    </w:pPr>
  </w:style>
  <w:style w:type="paragraph" w:customStyle="1" w:styleId="Logo">
    <w:name w:val="Logo"/>
    <w:basedOn w:val="Normal"/>
    <w:next w:val="Normal"/>
    <w:rsid w:val="00BE7C32"/>
    <w:pPr>
      <w:framePr w:w="329" w:h="505" w:hSpace="142" w:vSpace="142" w:wrap="notBeside" w:vAnchor="page" w:hAnchor="margin" w:y="1129"/>
      <w:jc w:val="right"/>
    </w:pPr>
  </w:style>
  <w:style w:type="paragraph" w:customStyle="1" w:styleId="Modtager">
    <w:name w:val="Modtager"/>
    <w:basedOn w:val="Normal"/>
    <w:rsid w:val="00BE7C32"/>
    <w:pPr>
      <w:spacing w:line="240" w:lineRule="auto"/>
    </w:pPr>
  </w:style>
  <w:style w:type="paragraph" w:styleId="NormalWeb">
    <w:name w:val="Normal (Web)"/>
    <w:basedOn w:val="Normal"/>
    <w:rsid w:val="00BE7C32"/>
    <w:rPr>
      <w:szCs w:val="24"/>
    </w:rPr>
  </w:style>
  <w:style w:type="paragraph" w:styleId="Normalindrykning">
    <w:name w:val="Normal Indent"/>
    <w:basedOn w:val="Normal"/>
    <w:rsid w:val="00BE7C32"/>
    <w:pPr>
      <w:ind w:left="1304"/>
    </w:pPr>
  </w:style>
  <w:style w:type="paragraph" w:customStyle="1" w:styleId="notaoplysninger">
    <w:name w:val="notaoplysninger"/>
    <w:basedOn w:val="Normal"/>
    <w:rsid w:val="00BE7C32"/>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BE7C32"/>
    <w:pPr>
      <w:spacing w:before="200" w:after="300" w:line="312" w:lineRule="auto"/>
    </w:pPr>
    <w:rPr>
      <w:b/>
      <w:bCs w:val="0"/>
    </w:rPr>
  </w:style>
  <w:style w:type="paragraph" w:styleId="Noteoverskrift">
    <w:name w:val="Note Heading"/>
    <w:basedOn w:val="Normal"/>
    <w:next w:val="Normal"/>
    <w:link w:val="NoteoverskriftTegn"/>
    <w:rsid w:val="00BE7C32"/>
  </w:style>
  <w:style w:type="character" w:customStyle="1" w:styleId="NoteoverskriftTegn">
    <w:name w:val="Noteoverskrift Tegn"/>
    <w:basedOn w:val="Standardskrifttypeiafsnit"/>
    <w:link w:val="Noteoverskrift"/>
    <w:rsid w:val="00BE7C32"/>
    <w:rPr>
      <w:rFonts w:ascii="Times New Roman" w:eastAsia="Times New Roman" w:hAnsi="Times New Roman" w:cs="Times New Roman"/>
      <w:bCs/>
      <w:sz w:val="23"/>
      <w:szCs w:val="20"/>
    </w:rPr>
  </w:style>
  <w:style w:type="paragraph" w:styleId="Liste">
    <w:name w:val="List"/>
    <w:basedOn w:val="Normal"/>
    <w:rsid w:val="00BE7C32"/>
    <w:pPr>
      <w:ind w:left="283" w:hanging="283"/>
    </w:pPr>
  </w:style>
  <w:style w:type="paragraph" w:styleId="Opstilling-forts">
    <w:name w:val="List Continue"/>
    <w:basedOn w:val="Normal"/>
    <w:rsid w:val="00BE7C32"/>
    <w:pPr>
      <w:spacing w:after="120"/>
      <w:ind w:left="283"/>
    </w:pPr>
  </w:style>
  <w:style w:type="paragraph" w:styleId="Opstilling-forts2">
    <w:name w:val="List Continue 2"/>
    <w:basedOn w:val="Normal"/>
    <w:rsid w:val="00BE7C32"/>
    <w:pPr>
      <w:spacing w:after="120"/>
      <w:ind w:left="566"/>
    </w:pPr>
  </w:style>
  <w:style w:type="paragraph" w:styleId="Opstilling-forts3">
    <w:name w:val="List Continue 3"/>
    <w:basedOn w:val="Normal"/>
    <w:rsid w:val="00BE7C32"/>
    <w:pPr>
      <w:spacing w:after="120"/>
      <w:ind w:left="849"/>
    </w:pPr>
  </w:style>
  <w:style w:type="paragraph" w:styleId="Opstilling-forts4">
    <w:name w:val="List Continue 4"/>
    <w:basedOn w:val="Normal"/>
    <w:rsid w:val="00BE7C32"/>
    <w:pPr>
      <w:spacing w:after="120"/>
      <w:ind w:left="1132"/>
    </w:pPr>
  </w:style>
  <w:style w:type="paragraph" w:styleId="Opstilling-forts5">
    <w:name w:val="List Continue 5"/>
    <w:basedOn w:val="Normal"/>
    <w:rsid w:val="00BE7C32"/>
    <w:pPr>
      <w:spacing w:after="120"/>
      <w:ind w:left="1415"/>
    </w:pPr>
  </w:style>
  <w:style w:type="paragraph" w:styleId="Opstilling-punkttegn">
    <w:name w:val="List Bullet"/>
    <w:basedOn w:val="Normal"/>
    <w:autoRedefine/>
    <w:rsid w:val="00BE7C32"/>
    <w:pPr>
      <w:numPr>
        <w:numId w:val="18"/>
      </w:numPr>
    </w:pPr>
  </w:style>
  <w:style w:type="paragraph" w:styleId="Opstilling-punkttegn2">
    <w:name w:val="List Bullet 2"/>
    <w:basedOn w:val="Normal"/>
    <w:autoRedefine/>
    <w:rsid w:val="00BE7C32"/>
    <w:pPr>
      <w:numPr>
        <w:numId w:val="19"/>
      </w:numPr>
    </w:pPr>
  </w:style>
  <w:style w:type="paragraph" w:styleId="Opstilling-punkttegn3">
    <w:name w:val="List Bullet 3"/>
    <w:basedOn w:val="Normal"/>
    <w:autoRedefine/>
    <w:rsid w:val="00BE7C32"/>
    <w:pPr>
      <w:numPr>
        <w:numId w:val="20"/>
      </w:numPr>
    </w:pPr>
  </w:style>
  <w:style w:type="paragraph" w:styleId="Opstilling-punkttegn4">
    <w:name w:val="List Bullet 4"/>
    <w:basedOn w:val="Normal"/>
    <w:autoRedefine/>
    <w:rsid w:val="00BE7C32"/>
    <w:pPr>
      <w:numPr>
        <w:numId w:val="21"/>
      </w:numPr>
    </w:pPr>
  </w:style>
  <w:style w:type="paragraph" w:styleId="Opstilling-punkttegn5">
    <w:name w:val="List Bullet 5"/>
    <w:basedOn w:val="Normal"/>
    <w:autoRedefine/>
    <w:rsid w:val="00BE7C32"/>
    <w:pPr>
      <w:numPr>
        <w:numId w:val="22"/>
      </w:numPr>
    </w:pPr>
  </w:style>
  <w:style w:type="paragraph" w:styleId="Opstilling-talellerbogst">
    <w:name w:val="List Number"/>
    <w:basedOn w:val="Normal"/>
    <w:rsid w:val="00BE7C32"/>
    <w:pPr>
      <w:numPr>
        <w:numId w:val="23"/>
      </w:numPr>
    </w:pPr>
  </w:style>
  <w:style w:type="paragraph" w:styleId="Opstilling-talellerbogst2">
    <w:name w:val="List Number 2"/>
    <w:basedOn w:val="Normal"/>
    <w:rsid w:val="00BE7C32"/>
    <w:pPr>
      <w:numPr>
        <w:numId w:val="24"/>
      </w:numPr>
    </w:pPr>
  </w:style>
  <w:style w:type="paragraph" w:styleId="Opstilling-talellerbogst3">
    <w:name w:val="List Number 3"/>
    <w:basedOn w:val="Normal"/>
    <w:rsid w:val="00BE7C32"/>
    <w:pPr>
      <w:numPr>
        <w:numId w:val="25"/>
      </w:numPr>
    </w:pPr>
  </w:style>
  <w:style w:type="paragraph" w:styleId="Opstilling-talellerbogst4">
    <w:name w:val="List Number 4"/>
    <w:basedOn w:val="Normal"/>
    <w:rsid w:val="00BE7C32"/>
    <w:pPr>
      <w:numPr>
        <w:numId w:val="26"/>
      </w:numPr>
    </w:pPr>
  </w:style>
  <w:style w:type="paragraph" w:styleId="Opstilling-talellerbogst5">
    <w:name w:val="List Number 5"/>
    <w:basedOn w:val="Normal"/>
    <w:rsid w:val="00BE7C32"/>
    <w:pPr>
      <w:numPr>
        <w:numId w:val="27"/>
      </w:numPr>
    </w:pPr>
  </w:style>
  <w:style w:type="paragraph" w:styleId="Liste2">
    <w:name w:val="List 2"/>
    <w:basedOn w:val="Normal"/>
    <w:rsid w:val="00BE7C32"/>
    <w:pPr>
      <w:ind w:left="566" w:hanging="283"/>
    </w:pPr>
  </w:style>
  <w:style w:type="paragraph" w:styleId="Liste3">
    <w:name w:val="List 3"/>
    <w:basedOn w:val="Normal"/>
    <w:rsid w:val="00BE7C32"/>
    <w:pPr>
      <w:ind w:left="849" w:hanging="283"/>
    </w:pPr>
  </w:style>
  <w:style w:type="paragraph" w:styleId="Liste4">
    <w:name w:val="List 4"/>
    <w:basedOn w:val="Normal"/>
    <w:rsid w:val="00BE7C32"/>
    <w:pPr>
      <w:ind w:left="1132" w:hanging="283"/>
    </w:pPr>
  </w:style>
  <w:style w:type="paragraph" w:styleId="Liste5">
    <w:name w:val="List 5"/>
    <w:basedOn w:val="Normal"/>
    <w:rsid w:val="00BE7C32"/>
    <w:pPr>
      <w:ind w:left="1415" w:hanging="283"/>
    </w:pPr>
  </w:style>
  <w:style w:type="character" w:customStyle="1" w:styleId="Overskrift6Tegn">
    <w:name w:val="Overskrift 6 Tegn"/>
    <w:basedOn w:val="Standardskrifttypeiafsnit"/>
    <w:link w:val="Overskrift6"/>
    <w:rsid w:val="00BE7C32"/>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BE7C32"/>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BE7C32"/>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BE7C32"/>
    <w:rPr>
      <w:rFonts w:ascii="Times New Roman" w:eastAsia="Times New Roman" w:hAnsi="Times New Roman" w:cs="Arial"/>
      <w:b/>
      <w:bCs/>
      <w:sz w:val="30"/>
      <w:szCs w:val="28"/>
    </w:rPr>
  </w:style>
  <w:style w:type="paragraph" w:customStyle="1" w:styleId="PunktafsnitIndrykkettekst">
    <w:name w:val="Punktafsnit (Indrykket tekst)"/>
    <w:basedOn w:val="Normal"/>
    <w:qFormat/>
    <w:rsid w:val="00BE7C32"/>
    <w:pPr>
      <w:tabs>
        <w:tab w:val="left" w:pos="993"/>
      </w:tabs>
      <w:spacing w:after="300"/>
      <w:ind w:left="992"/>
    </w:pPr>
  </w:style>
  <w:style w:type="paragraph" w:customStyle="1" w:styleId="Punktafsnit1">
    <w:name w:val="Punktafsnit 1"/>
    <w:basedOn w:val="Overskrift1"/>
    <w:qFormat/>
    <w:rsid w:val="00BE7C32"/>
    <w:pPr>
      <w:keepNext w:val="0"/>
    </w:pPr>
  </w:style>
  <w:style w:type="paragraph" w:customStyle="1" w:styleId="Punktafsnit4">
    <w:name w:val="Punktafsnit 4"/>
    <w:basedOn w:val="Overskrift4"/>
    <w:qFormat/>
    <w:rsid w:val="00BE7C32"/>
    <w:pPr>
      <w:keepNext w:val="0"/>
    </w:pPr>
    <w:rPr>
      <w:i w:val="0"/>
    </w:rPr>
  </w:style>
  <w:style w:type="paragraph" w:customStyle="1" w:styleId="Punktopstilling">
    <w:name w:val="Punktopstilling"/>
    <w:basedOn w:val="Normal"/>
    <w:qFormat/>
    <w:rsid w:val="003218B2"/>
    <w:pPr>
      <w:numPr>
        <w:numId w:val="41"/>
      </w:numPr>
      <w:tabs>
        <w:tab w:val="left" w:pos="1701"/>
      </w:tabs>
      <w:spacing w:after="300" w:line="300" w:lineRule="exact"/>
      <w:ind w:left="1701" w:hanging="708"/>
    </w:pPr>
    <w:rPr>
      <w:lang w:val="en-US"/>
    </w:rPr>
  </w:style>
  <w:style w:type="character" w:styleId="Sidetal">
    <w:name w:val="page number"/>
    <w:rsid w:val="00BE7C32"/>
    <w:rPr>
      <w:sz w:val="16"/>
      <w:szCs w:val="16"/>
    </w:rPr>
  </w:style>
  <w:style w:type="character" w:styleId="Slutnotehenvisning">
    <w:name w:val="endnote reference"/>
    <w:basedOn w:val="Standardskrifttypeiafsnit"/>
    <w:semiHidden/>
    <w:rsid w:val="00BE7C32"/>
    <w:rPr>
      <w:sz w:val="17"/>
      <w:vertAlign w:val="superscript"/>
    </w:rPr>
  </w:style>
  <w:style w:type="paragraph" w:styleId="Slutnotetekst">
    <w:name w:val="endnote text"/>
    <w:basedOn w:val="Normal"/>
    <w:link w:val="SlutnotetekstTegn"/>
    <w:semiHidden/>
    <w:rsid w:val="00BE7C32"/>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BE7C32"/>
    <w:rPr>
      <w:rFonts w:ascii="Times New Roman" w:eastAsia="Times New Roman" w:hAnsi="Times New Roman" w:cs="Times New Roman"/>
      <w:bCs/>
      <w:sz w:val="17"/>
      <w:szCs w:val="20"/>
    </w:rPr>
  </w:style>
  <w:style w:type="character" w:customStyle="1" w:styleId="Stilling">
    <w:name w:val="Stilling"/>
    <w:uiPriority w:val="99"/>
    <w:rsid w:val="00BE7C32"/>
    <w:rPr>
      <w:i/>
      <w:color w:val="auto"/>
      <w:szCs w:val="23"/>
    </w:rPr>
  </w:style>
  <w:style w:type="table" w:customStyle="1" w:styleId="Tabel-Gitter1">
    <w:name w:val="Tabel - Gitter1"/>
    <w:basedOn w:val="Tabel-Normal"/>
    <w:next w:val="Tabel-Gitter"/>
    <w:rsid w:val="00BE7C3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Normal"/>
    <w:link w:val="TitelTegn"/>
    <w:qFormat/>
    <w:rsid w:val="00BE7C32"/>
    <w:pPr>
      <w:keepNext/>
      <w:spacing w:after="240" w:line="240" w:lineRule="auto"/>
      <w:jc w:val="left"/>
    </w:pPr>
    <w:rPr>
      <w:rFonts w:cs="Arial"/>
      <w:sz w:val="56"/>
      <w:szCs w:val="32"/>
    </w:rPr>
  </w:style>
  <w:style w:type="character" w:customStyle="1" w:styleId="TitelTegn">
    <w:name w:val="Titel Tegn"/>
    <w:basedOn w:val="Standardskrifttypeiafsnit"/>
    <w:link w:val="Titel"/>
    <w:rsid w:val="00BE7C32"/>
    <w:rPr>
      <w:rFonts w:ascii="Times New Roman" w:eastAsia="Times New Roman" w:hAnsi="Times New Roman" w:cs="Arial"/>
      <w:bCs/>
      <w:sz w:val="56"/>
      <w:szCs w:val="32"/>
    </w:rPr>
  </w:style>
  <w:style w:type="paragraph" w:styleId="Underskrift">
    <w:name w:val="Signature"/>
    <w:basedOn w:val="Normal"/>
    <w:link w:val="UnderskriftTegn"/>
    <w:rsid w:val="00BE7C32"/>
    <w:pPr>
      <w:ind w:left="4252"/>
    </w:pPr>
  </w:style>
  <w:style w:type="character" w:customStyle="1" w:styleId="UnderskriftTegn">
    <w:name w:val="Underskrift Tegn"/>
    <w:basedOn w:val="Standardskrifttypeiafsnit"/>
    <w:link w:val="Underskrift"/>
    <w:rsid w:val="00BE7C32"/>
    <w:rPr>
      <w:rFonts w:ascii="Times New Roman" w:eastAsia="Times New Roman" w:hAnsi="Times New Roman" w:cs="Times New Roman"/>
      <w:bCs/>
      <w:sz w:val="23"/>
      <w:szCs w:val="20"/>
    </w:rPr>
  </w:style>
  <w:style w:type="character" w:customStyle="1" w:styleId="ListeafsnitTegn">
    <w:name w:val="Listeafsnit Tegn"/>
    <w:basedOn w:val="Standardskrifttypeiafsnit"/>
    <w:link w:val="Listeafsnit"/>
    <w:uiPriority w:val="34"/>
    <w:locked/>
    <w:rsid w:val="001B7EB0"/>
    <w:rPr>
      <w:rFonts w:ascii="Times New Roman" w:eastAsia="Times New Roman" w:hAnsi="Times New Roman" w:cs="Times New Roman"/>
      <w:bCs/>
      <w:sz w:val="23"/>
      <w:szCs w:val="20"/>
    </w:rPr>
  </w:style>
  <w:style w:type="paragraph" w:styleId="Kommentaremne">
    <w:name w:val="annotation subject"/>
    <w:basedOn w:val="Kommentartekst"/>
    <w:next w:val="Kommentartekst"/>
    <w:link w:val="KommentaremneTegn"/>
    <w:uiPriority w:val="99"/>
    <w:semiHidden/>
    <w:unhideWhenUsed/>
    <w:rsid w:val="00A85FEE"/>
    <w:pPr>
      <w:spacing w:line="240" w:lineRule="auto"/>
    </w:pPr>
    <w:rPr>
      <w:b/>
      <w:sz w:val="20"/>
    </w:rPr>
  </w:style>
  <w:style w:type="character" w:customStyle="1" w:styleId="KommentaremneTegn">
    <w:name w:val="Kommentaremne Tegn"/>
    <w:basedOn w:val="KommentartekstTegn"/>
    <w:link w:val="Kommentaremne"/>
    <w:uiPriority w:val="99"/>
    <w:semiHidden/>
    <w:rsid w:val="00A85FEE"/>
    <w:rPr>
      <w:rFonts w:ascii="Times New Roman" w:eastAsia="Times New Roman" w:hAnsi="Times New Roman" w:cs="Times New Roman"/>
      <w:b/>
      <w:bCs/>
      <w:sz w:val="20"/>
      <w:szCs w:val="20"/>
    </w:rPr>
  </w:style>
  <w:style w:type="paragraph" w:styleId="Korrektur">
    <w:name w:val="Revision"/>
    <w:hidden/>
    <w:uiPriority w:val="99"/>
    <w:semiHidden/>
    <w:rsid w:val="00A43CDA"/>
    <w:pPr>
      <w:spacing w:after="0" w:line="240" w:lineRule="auto"/>
    </w:pPr>
    <w:rPr>
      <w:rFonts w:ascii="Times New Roman" w:eastAsia="Times New Roman" w:hAnsi="Times New Roman" w:cs="Times New Roman"/>
      <w:bCs/>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4032">
      <w:bodyDiv w:val="1"/>
      <w:marLeft w:val="0"/>
      <w:marRight w:val="0"/>
      <w:marTop w:val="0"/>
      <w:marBottom w:val="0"/>
      <w:divBdr>
        <w:top w:val="none" w:sz="0" w:space="0" w:color="auto"/>
        <w:left w:val="none" w:sz="0" w:space="0" w:color="auto"/>
        <w:bottom w:val="none" w:sz="0" w:space="0" w:color="auto"/>
        <w:right w:val="none" w:sz="0" w:space="0" w:color="auto"/>
      </w:divBdr>
    </w:div>
    <w:div w:id="543564851">
      <w:bodyDiv w:val="1"/>
      <w:marLeft w:val="0"/>
      <w:marRight w:val="0"/>
      <w:marTop w:val="0"/>
      <w:marBottom w:val="0"/>
      <w:divBdr>
        <w:top w:val="none" w:sz="0" w:space="0" w:color="auto"/>
        <w:left w:val="none" w:sz="0" w:space="0" w:color="auto"/>
        <w:bottom w:val="none" w:sz="0" w:space="0" w:color="auto"/>
        <w:right w:val="none" w:sz="0" w:space="0" w:color="auto"/>
      </w:divBdr>
    </w:div>
    <w:div w:id="591738870">
      <w:bodyDiv w:val="1"/>
      <w:marLeft w:val="0"/>
      <w:marRight w:val="0"/>
      <w:marTop w:val="0"/>
      <w:marBottom w:val="0"/>
      <w:divBdr>
        <w:top w:val="none" w:sz="0" w:space="0" w:color="auto"/>
        <w:left w:val="none" w:sz="0" w:space="0" w:color="auto"/>
        <w:bottom w:val="none" w:sz="0" w:space="0" w:color="auto"/>
        <w:right w:val="none" w:sz="0" w:space="0" w:color="auto"/>
      </w:divBdr>
    </w:div>
    <w:div w:id="20027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Kontrak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12106983BA4042927F2EDCC417C6C9"/>
        <w:category>
          <w:name w:val="Generelt"/>
          <w:gallery w:val="placeholder"/>
        </w:category>
        <w:types>
          <w:type w:val="bbPlcHdr"/>
        </w:types>
        <w:behaviors>
          <w:behavior w:val="content"/>
        </w:behaviors>
        <w:guid w:val="{7B8FBFD0-06A4-4CB5-A496-3CE978BABE4D}"/>
      </w:docPartPr>
      <w:docPartBody>
        <w:p w:rsidR="00796BD8" w:rsidRDefault="00796BD8">
          <w:pPr>
            <w:pStyle w:val="AC12106983BA4042927F2EDCC417C6C9"/>
          </w:pPr>
          <w:r w:rsidRPr="00D31D29">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D8"/>
    <w:rsid w:val="001371D2"/>
    <w:rsid w:val="00282F4E"/>
    <w:rsid w:val="003B7B31"/>
    <w:rsid w:val="004D2520"/>
    <w:rsid w:val="005B5282"/>
    <w:rsid w:val="00711010"/>
    <w:rsid w:val="00796BD8"/>
    <w:rsid w:val="0080028F"/>
    <w:rsid w:val="009F1EA7"/>
    <w:rsid w:val="00C7259E"/>
    <w:rsid w:val="00D872DC"/>
    <w:rsid w:val="00E27F2F"/>
    <w:rsid w:val="00FD60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C12106983BA4042927F2EDCC417C6C9">
    <w:name w:val="AC12106983BA4042927F2EDCC417C6C9"/>
  </w:style>
  <w:style w:type="paragraph" w:customStyle="1" w:styleId="E33062F3C294457D9F355B50B62F13FB">
    <w:name w:val="E33062F3C294457D9F355B50B62F13FB"/>
  </w:style>
  <w:style w:type="paragraph" w:customStyle="1" w:styleId="D850B0906CAD41719FF18B324471F1E7">
    <w:name w:val="D850B0906CAD41719FF18B324471F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B1D3-D53A-4109-975A-234FD062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Kontrakt.dotx</Template>
  <TotalTime>1</TotalTime>
  <Pages>9</Pages>
  <Words>1822</Words>
  <Characters>12373</Characters>
  <Application>Microsoft Office Word</Application>
  <DocSecurity>0</DocSecurity>
  <Lines>343</Lines>
  <Paragraphs>194</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 definitioner til standardkontrakt K04</dc:title>
  <dc:creator>Marianne Wulff</dc:creator>
  <cp:lastModifiedBy>Britt Rosenstand Hansen</cp:lastModifiedBy>
  <cp:revision>2</cp:revision>
  <cp:lastPrinted>2018-08-09T09:31:00Z</cp:lastPrinted>
  <dcterms:created xsi:type="dcterms:W3CDTF">2025-04-10T09:41:00Z</dcterms:created>
  <dcterms:modified xsi:type="dcterms:W3CDTF">2025-04-10T09:41:00Z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