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Layout w:type="fixed"/>
        <w:tblCellMar>
          <w:top w:w="57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7"/>
        <w:gridCol w:w="624"/>
        <w:gridCol w:w="2019"/>
      </w:tblGrid>
      <w:tr w:rsidR="001128CF" w:rsidRPr="00C9135F" w:rsidTr="00A74F79">
        <w:trPr>
          <w:trHeight w:hRule="exact" w:val="910"/>
        </w:trPr>
        <w:tc>
          <w:tcPr>
            <w:tcW w:w="7257" w:type="dxa"/>
            <w:tcBorders>
              <w:bottom w:val="single" w:sz="2" w:space="0" w:color="auto"/>
            </w:tcBorders>
          </w:tcPr>
          <w:p w:rsidR="001128CF" w:rsidRPr="00C9135F" w:rsidRDefault="00DE6CEF" w:rsidP="004A26E4">
            <w:pPr>
              <w:pStyle w:val="DokTitel"/>
              <w:rPr>
                <w:lang w:val="da-DK"/>
              </w:rPr>
            </w:pPr>
            <w:r>
              <w:rPr>
                <w:lang w:val="da-DK"/>
              </w:rPr>
              <w:t xml:space="preserve">Bilag </w:t>
            </w:r>
            <w:r w:rsidR="004A26E4">
              <w:rPr>
                <w:lang w:val="da-DK"/>
              </w:rPr>
              <w:t>2</w:t>
            </w:r>
          </w:p>
        </w:tc>
        <w:tc>
          <w:tcPr>
            <w:tcW w:w="624" w:type="dxa"/>
          </w:tcPr>
          <w:p w:rsidR="001128CF" w:rsidRPr="00C9135F" w:rsidRDefault="001128CF" w:rsidP="00D2297E">
            <w:pPr>
              <w:pStyle w:val="DokTitel"/>
              <w:rPr>
                <w:lang w:val="da-DK"/>
              </w:rPr>
            </w:pPr>
          </w:p>
        </w:tc>
        <w:tc>
          <w:tcPr>
            <w:tcW w:w="2019" w:type="dxa"/>
          </w:tcPr>
          <w:p w:rsidR="001128CF" w:rsidRPr="00C9135F" w:rsidRDefault="001128CF" w:rsidP="00F74E86">
            <w:pPr>
              <w:rPr>
                <w:lang w:val="da-DK"/>
              </w:rPr>
            </w:pPr>
            <w:bookmarkStart w:id="0" w:name="BmDato"/>
            <w:bookmarkEnd w:id="0"/>
          </w:p>
          <w:p w:rsidR="001128CF" w:rsidRPr="00C9135F" w:rsidRDefault="001128CF" w:rsidP="00F74E86">
            <w:pPr>
              <w:rPr>
                <w:lang w:val="da-DK"/>
              </w:rPr>
            </w:pPr>
            <w:bookmarkStart w:id="1" w:name="BmOmraade"/>
            <w:bookmarkEnd w:id="1"/>
          </w:p>
          <w:p w:rsidR="001128CF" w:rsidRPr="00C9135F" w:rsidRDefault="001128CF" w:rsidP="00472B2B">
            <w:pPr>
              <w:pStyle w:val="Sidehoved"/>
              <w:rPr>
                <w:lang w:val="da-DK"/>
              </w:rPr>
            </w:pPr>
            <w:bookmarkStart w:id="2" w:name="BmJournalnr"/>
            <w:bookmarkEnd w:id="2"/>
          </w:p>
        </w:tc>
      </w:tr>
    </w:tbl>
    <w:p w:rsidR="00822148" w:rsidRDefault="00B7734C" w:rsidP="00822148">
      <w:pPr>
        <w:pStyle w:val="Overskrift1"/>
        <w:rPr>
          <w:lang w:val="da-DK"/>
        </w:rPr>
      </w:pPr>
      <w:bookmarkStart w:id="3" w:name="BmOverskrift"/>
      <w:bookmarkEnd w:id="3"/>
      <w:r>
        <w:rPr>
          <w:noProof/>
          <w:lang w:val="da-DK" w:eastAsia="da-DK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1805940</wp:posOffset>
            </wp:positionH>
            <wp:positionV relativeFrom="page">
              <wp:posOffset>384810</wp:posOffset>
            </wp:positionV>
            <wp:extent cx="2144395" cy="417830"/>
            <wp:effectExtent l="0" t="0" r="8255" b="1270"/>
            <wp:wrapNone/>
            <wp:docPr id="14" name="Billede 14" descr="Digitaliseringsstyrelsen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igitaliseringsstyrelsen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417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CEF">
        <w:rPr>
          <w:lang w:val="da-DK"/>
        </w:rPr>
        <w:t>Et</w:t>
      </w:r>
      <w:r w:rsidR="00CC6419">
        <w:rPr>
          <w:lang w:val="da-DK"/>
        </w:rPr>
        <w:t xml:space="preserve"> offentligt-privat partnerskab</w:t>
      </w:r>
    </w:p>
    <w:p w:rsidR="00036755" w:rsidRDefault="00036755">
      <w:pPr>
        <w:rPr>
          <w:lang w:val="da-DK"/>
        </w:rPr>
        <w:sectPr w:rsidR="00036755" w:rsidSect="004E4A3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25" w:right="2835" w:bottom="1361" w:left="1418" w:header="2325" w:footer="709" w:gutter="0"/>
          <w:cols w:space="708"/>
          <w:docGrid w:linePitch="360"/>
        </w:sectPr>
      </w:pPr>
    </w:p>
    <w:p w:rsidR="00C22341" w:rsidRDefault="0025147F" w:rsidP="00DE6CEF">
      <w:pPr>
        <w:rPr>
          <w:lang w:val="da-DK"/>
        </w:rPr>
      </w:pPr>
      <w:r>
        <w:rPr>
          <w:lang w:val="da-DK"/>
        </w:rPr>
        <w:lastRenderedPageBreak/>
        <w:t>Formålet med</w:t>
      </w:r>
      <w:r w:rsidR="00DE6CEF">
        <w:rPr>
          <w:lang w:val="da-DK"/>
        </w:rPr>
        <w:t xml:space="preserve"> et kommende partnerskab </w:t>
      </w:r>
      <w:r>
        <w:rPr>
          <w:lang w:val="da-DK"/>
        </w:rPr>
        <w:t xml:space="preserve">er at etablere et offentligt-privat samarbejde om </w:t>
      </w:r>
      <w:r w:rsidR="00DE6CEF" w:rsidRPr="00C9135F">
        <w:rPr>
          <w:lang w:val="da-DK"/>
        </w:rPr>
        <w:t>tilvejebringe</w:t>
      </w:r>
      <w:r>
        <w:rPr>
          <w:lang w:val="da-DK"/>
        </w:rPr>
        <w:t>lsen af</w:t>
      </w:r>
      <w:r w:rsidR="00DE6CEF" w:rsidRPr="00C9135F">
        <w:rPr>
          <w:lang w:val="da-DK"/>
        </w:rPr>
        <w:t xml:space="preserve"> en tids</w:t>
      </w:r>
      <w:r w:rsidR="003803CE">
        <w:rPr>
          <w:lang w:val="da-DK"/>
        </w:rPr>
        <w:t>s</w:t>
      </w:r>
      <w:r w:rsidR="00DE6CEF" w:rsidRPr="00C9135F">
        <w:rPr>
          <w:lang w:val="da-DK"/>
        </w:rPr>
        <w:t xml:space="preserve">varende og sikker løsning til digital identifikation </w:t>
      </w:r>
      <w:r w:rsidR="00DE6CEF">
        <w:rPr>
          <w:lang w:val="da-DK"/>
        </w:rPr>
        <w:t xml:space="preserve">og signatur </w:t>
      </w:r>
      <w:r w:rsidR="00DE6CEF" w:rsidRPr="00C9135F">
        <w:rPr>
          <w:lang w:val="da-DK"/>
        </w:rPr>
        <w:t>i Danmark</w:t>
      </w:r>
      <w:r w:rsidR="00DE6CEF">
        <w:rPr>
          <w:lang w:val="da-DK"/>
        </w:rPr>
        <w:t xml:space="preserve">, eller blot en del af den. Partnerskabets løsning </w:t>
      </w:r>
      <w:r w:rsidR="00DE6CEF" w:rsidRPr="00C9135F">
        <w:rPr>
          <w:lang w:val="da-DK"/>
        </w:rPr>
        <w:t xml:space="preserve">skal </w:t>
      </w:r>
      <w:r w:rsidR="00DE6CEF">
        <w:rPr>
          <w:lang w:val="da-DK"/>
        </w:rPr>
        <w:t xml:space="preserve">stilles </w:t>
      </w:r>
      <w:r w:rsidR="00DE6CEF" w:rsidRPr="00C9135F">
        <w:rPr>
          <w:lang w:val="da-DK"/>
        </w:rPr>
        <w:t>til rådighed for borgere</w:t>
      </w:r>
      <w:r w:rsidR="00681D88">
        <w:rPr>
          <w:lang w:val="da-DK"/>
        </w:rPr>
        <w:t xml:space="preserve"> og virksomheder</w:t>
      </w:r>
      <w:r w:rsidR="00DE6CEF" w:rsidRPr="00C9135F">
        <w:rPr>
          <w:lang w:val="da-DK"/>
        </w:rPr>
        <w:t xml:space="preserve"> </w:t>
      </w:r>
      <w:r w:rsidR="00681D88">
        <w:rPr>
          <w:lang w:val="da-DK"/>
        </w:rPr>
        <w:t xml:space="preserve">som brugere </w:t>
      </w:r>
      <w:r w:rsidR="00DE6CEF" w:rsidRPr="00C9135F">
        <w:rPr>
          <w:lang w:val="da-DK"/>
        </w:rPr>
        <w:t xml:space="preserve">og </w:t>
      </w:r>
      <w:r w:rsidR="00DE6CEF">
        <w:rPr>
          <w:lang w:val="da-DK"/>
        </w:rPr>
        <w:t xml:space="preserve">for </w:t>
      </w:r>
      <w:r w:rsidR="0020326A">
        <w:rPr>
          <w:lang w:val="da-DK"/>
        </w:rPr>
        <w:t xml:space="preserve">den/de private partner(e), </w:t>
      </w:r>
      <w:r w:rsidR="00DE6CEF" w:rsidRPr="00C9135F">
        <w:rPr>
          <w:lang w:val="da-DK"/>
        </w:rPr>
        <w:t>offentlige myndigheder, herunder kommuner og regioner</w:t>
      </w:r>
      <w:r w:rsidR="00725039">
        <w:rPr>
          <w:lang w:val="da-DK"/>
        </w:rPr>
        <w:t xml:space="preserve">, </w:t>
      </w:r>
      <w:r w:rsidR="0020326A">
        <w:rPr>
          <w:lang w:val="da-DK"/>
        </w:rPr>
        <w:t xml:space="preserve">samt evt. virksomheder </w:t>
      </w:r>
      <w:r w:rsidR="00681D88">
        <w:rPr>
          <w:lang w:val="da-DK"/>
        </w:rPr>
        <w:t>som tjenesteudbydere</w:t>
      </w:r>
      <w:r w:rsidR="00DE6CEF" w:rsidRPr="00C9135F">
        <w:rPr>
          <w:lang w:val="da-DK"/>
        </w:rPr>
        <w:t>.</w:t>
      </w:r>
      <w:r w:rsidR="00DE6CEF">
        <w:rPr>
          <w:lang w:val="da-DK"/>
        </w:rPr>
        <w:t xml:space="preserve"> </w:t>
      </w:r>
    </w:p>
    <w:p w:rsidR="00B52648" w:rsidRDefault="00B52648" w:rsidP="00B52648">
      <w:pPr>
        <w:pStyle w:val="Overskrift3"/>
        <w:rPr>
          <w:lang w:val="da-DK"/>
        </w:rPr>
      </w:pPr>
      <w:r>
        <w:rPr>
          <w:lang w:val="da-DK"/>
        </w:rPr>
        <w:t>Ønskede formål med partnerskabet</w:t>
      </w:r>
    </w:p>
    <w:p w:rsidR="00C22341" w:rsidRPr="00C22341" w:rsidRDefault="00C22341" w:rsidP="00C22341">
      <w:pPr>
        <w:rPr>
          <w:lang w:val="da-DK"/>
        </w:rPr>
      </w:pPr>
      <w:r w:rsidRPr="00C22341">
        <w:rPr>
          <w:lang w:val="da-DK"/>
        </w:rPr>
        <w:t>Digitaliseringsstyrelsen planlægger et udbud med henblik på at etablere et offentligt-privat partnerskab</w:t>
      </w:r>
      <w:r w:rsidR="0025147F">
        <w:rPr>
          <w:lang w:val="da-DK"/>
        </w:rPr>
        <w:t>,</w:t>
      </w:r>
      <w:r w:rsidR="004735E3">
        <w:rPr>
          <w:lang w:val="da-DK"/>
        </w:rPr>
        <w:t xml:space="preserve"> som tjener</w:t>
      </w:r>
      <w:r w:rsidRPr="00C22341">
        <w:rPr>
          <w:lang w:val="da-DK"/>
        </w:rPr>
        <w:t xml:space="preserve"> følgende </w:t>
      </w:r>
      <w:r w:rsidRPr="0038375C">
        <w:rPr>
          <w:lang w:val="da-DK"/>
        </w:rPr>
        <w:t>formål</w:t>
      </w:r>
      <w:r w:rsidRPr="00C22341">
        <w:rPr>
          <w:lang w:val="da-DK"/>
        </w:rPr>
        <w:t xml:space="preserve">: </w:t>
      </w:r>
    </w:p>
    <w:p w:rsidR="0038375C" w:rsidRDefault="00C22341" w:rsidP="0038375C">
      <w:pPr>
        <w:numPr>
          <w:ilvl w:val="0"/>
          <w:numId w:val="5"/>
        </w:numPr>
        <w:rPr>
          <w:lang w:val="da-DK"/>
        </w:rPr>
      </w:pPr>
      <w:r w:rsidRPr="00C22341">
        <w:rPr>
          <w:lang w:val="da-DK"/>
        </w:rPr>
        <w:t xml:space="preserve">Fælles udvikling og drift af hele eller dele af en kommende </w:t>
      </w:r>
      <w:r w:rsidR="004A26E4">
        <w:rPr>
          <w:lang w:val="da-DK"/>
        </w:rPr>
        <w:t xml:space="preserve">digital identitets- og </w:t>
      </w:r>
      <w:r w:rsidRPr="00C22341">
        <w:rPr>
          <w:lang w:val="da-DK"/>
        </w:rPr>
        <w:t>signaturinfrastruktur</w:t>
      </w:r>
      <w:r w:rsidR="0038375C">
        <w:rPr>
          <w:lang w:val="da-DK"/>
        </w:rPr>
        <w:t xml:space="preserve"> </w:t>
      </w:r>
    </w:p>
    <w:p w:rsidR="0038375C" w:rsidRDefault="00C22341" w:rsidP="0038375C">
      <w:pPr>
        <w:numPr>
          <w:ilvl w:val="0"/>
          <w:numId w:val="5"/>
        </w:numPr>
        <w:rPr>
          <w:lang w:val="da-DK"/>
        </w:rPr>
      </w:pPr>
      <w:r w:rsidRPr="00C22341">
        <w:rPr>
          <w:lang w:val="da-DK"/>
        </w:rPr>
        <w:t>Opnåelse af størst mulig udbredelse, bredest mulig anvendelse og højest mulig anvendelsesfrekvens hos slutbrugerne</w:t>
      </w:r>
    </w:p>
    <w:p w:rsidR="0038375C" w:rsidRDefault="00C22341" w:rsidP="0038375C">
      <w:pPr>
        <w:numPr>
          <w:ilvl w:val="0"/>
          <w:numId w:val="5"/>
        </w:numPr>
        <w:rPr>
          <w:lang w:val="da-DK"/>
        </w:rPr>
      </w:pPr>
      <w:r w:rsidRPr="0038375C">
        <w:rPr>
          <w:lang w:val="da-DK"/>
        </w:rPr>
        <w:t>Opnåelse af størst mulig brugervenlighed i forhold til den kommende eID- og signaturinfrastruktur bl.a. som følge af anvendelse på tværs af offentlige og private tjenester på samme genkendelige vis</w:t>
      </w:r>
    </w:p>
    <w:p w:rsidR="00351166" w:rsidRPr="0038375C" w:rsidRDefault="00681D88" w:rsidP="0038375C">
      <w:pPr>
        <w:numPr>
          <w:ilvl w:val="0"/>
          <w:numId w:val="5"/>
        </w:numPr>
        <w:rPr>
          <w:lang w:val="da-DK"/>
        </w:rPr>
      </w:pPr>
      <w:r>
        <w:rPr>
          <w:lang w:val="da-DK"/>
        </w:rPr>
        <w:t>Fælles finansiering</w:t>
      </w:r>
      <w:r w:rsidRPr="0038375C">
        <w:rPr>
          <w:lang w:val="da-DK"/>
        </w:rPr>
        <w:t xml:space="preserve"> </w:t>
      </w:r>
      <w:r w:rsidR="00C22341" w:rsidRPr="0038375C">
        <w:rPr>
          <w:lang w:val="da-DK"/>
        </w:rPr>
        <w:t>af omkostninger til udvikling</w:t>
      </w:r>
      <w:r>
        <w:rPr>
          <w:lang w:val="da-DK"/>
        </w:rPr>
        <w:t>,</w:t>
      </w:r>
      <w:r w:rsidR="00C22341" w:rsidRPr="0038375C">
        <w:rPr>
          <w:lang w:val="da-DK"/>
        </w:rPr>
        <w:t xml:space="preserve"> videreudvikling </w:t>
      </w:r>
      <w:r>
        <w:rPr>
          <w:lang w:val="da-DK"/>
        </w:rPr>
        <w:t xml:space="preserve">og drift </w:t>
      </w:r>
      <w:r w:rsidR="00C22341" w:rsidRPr="0038375C">
        <w:rPr>
          <w:lang w:val="da-DK"/>
        </w:rPr>
        <w:t>af</w:t>
      </w:r>
      <w:r>
        <w:rPr>
          <w:lang w:val="da-DK"/>
        </w:rPr>
        <w:t xml:space="preserve"> </w:t>
      </w:r>
      <w:r w:rsidR="00C22341" w:rsidRPr="0038375C">
        <w:rPr>
          <w:lang w:val="da-DK"/>
        </w:rPr>
        <w:t>løsningen for deltagerne i partnerskabet.</w:t>
      </w:r>
    </w:p>
    <w:p w:rsidR="00B52648" w:rsidRPr="00B52648" w:rsidRDefault="00B52648" w:rsidP="00B52648">
      <w:pPr>
        <w:pStyle w:val="Overskrift3"/>
        <w:rPr>
          <w:lang w:val="da-DK"/>
        </w:rPr>
      </w:pPr>
      <w:r w:rsidRPr="00B52648">
        <w:rPr>
          <w:lang w:val="da-DK"/>
        </w:rPr>
        <w:t>Statsstøtte- og konkurrenceregler</w:t>
      </w:r>
    </w:p>
    <w:p w:rsidR="00916F26" w:rsidRDefault="00C22341" w:rsidP="00DE6CEF">
      <w:pPr>
        <w:rPr>
          <w:lang w:val="da-DK"/>
        </w:rPr>
      </w:pPr>
      <w:r w:rsidRPr="00B52648">
        <w:rPr>
          <w:lang w:val="da-DK"/>
        </w:rPr>
        <w:t>D</w:t>
      </w:r>
      <w:r w:rsidR="00DE6CEF" w:rsidRPr="00B52648">
        <w:rPr>
          <w:lang w:val="da-DK"/>
        </w:rPr>
        <w:t xml:space="preserve">et </w:t>
      </w:r>
      <w:r w:rsidRPr="00B52648">
        <w:rPr>
          <w:lang w:val="da-DK"/>
        </w:rPr>
        <w:t xml:space="preserve">er </w:t>
      </w:r>
      <w:r w:rsidR="00DE6CEF" w:rsidRPr="00B52648">
        <w:rPr>
          <w:lang w:val="da-DK"/>
        </w:rPr>
        <w:t>af hensyn til statsstøtte- og konkurrenceregler</w:t>
      </w:r>
      <w:r w:rsidR="00DE6CEF" w:rsidRPr="00C9135F">
        <w:rPr>
          <w:lang w:val="da-DK"/>
        </w:rPr>
        <w:t xml:space="preserve"> </w:t>
      </w:r>
      <w:r w:rsidR="00DE6CEF">
        <w:rPr>
          <w:lang w:val="da-DK"/>
        </w:rPr>
        <w:t xml:space="preserve">essentielt, at </w:t>
      </w:r>
      <w:r w:rsidR="00DE6CEF" w:rsidRPr="00C9135F">
        <w:rPr>
          <w:lang w:val="da-DK"/>
        </w:rPr>
        <w:t>partnerskab</w:t>
      </w:r>
      <w:r w:rsidR="00DE6CEF">
        <w:rPr>
          <w:lang w:val="da-DK"/>
        </w:rPr>
        <w:t>et</w:t>
      </w:r>
      <w:r w:rsidR="00DE6CEF" w:rsidRPr="00C9135F">
        <w:rPr>
          <w:lang w:val="da-DK"/>
        </w:rPr>
        <w:t xml:space="preserve"> stille</w:t>
      </w:r>
      <w:r w:rsidR="00DE6CEF">
        <w:rPr>
          <w:lang w:val="da-DK"/>
        </w:rPr>
        <w:t>r</w:t>
      </w:r>
      <w:r w:rsidR="00DE6CEF" w:rsidRPr="00C9135F">
        <w:rPr>
          <w:lang w:val="da-DK"/>
        </w:rPr>
        <w:t xml:space="preserve"> løsningen til rådighed for private virksomheder</w:t>
      </w:r>
      <w:r w:rsidR="00CE345E">
        <w:rPr>
          <w:lang w:val="da-DK"/>
        </w:rPr>
        <w:t xml:space="preserve"> som brugere</w:t>
      </w:r>
      <w:r w:rsidR="00DE6CEF" w:rsidRPr="00C9135F">
        <w:rPr>
          <w:lang w:val="da-DK"/>
        </w:rPr>
        <w:t xml:space="preserve"> på ensartede og ikke diskriminerende vilkår</w:t>
      </w:r>
      <w:r w:rsidR="00681D88">
        <w:rPr>
          <w:lang w:val="da-DK"/>
        </w:rPr>
        <w:t>. Det er ligeledes afgørende,</w:t>
      </w:r>
      <w:r w:rsidR="00B453D0">
        <w:rPr>
          <w:lang w:val="da-DK"/>
        </w:rPr>
        <w:t xml:space="preserve"> at</w:t>
      </w:r>
      <w:r w:rsidR="00681D88">
        <w:rPr>
          <w:lang w:val="da-DK"/>
        </w:rPr>
        <w:t xml:space="preserve"> den</w:t>
      </w:r>
      <w:r w:rsidR="00B251A3">
        <w:rPr>
          <w:lang w:val="da-DK"/>
        </w:rPr>
        <w:t>/de</w:t>
      </w:r>
      <w:r w:rsidR="00681D88">
        <w:rPr>
          <w:lang w:val="da-DK"/>
        </w:rPr>
        <w:t xml:space="preserve"> private partner</w:t>
      </w:r>
      <w:r w:rsidR="00B251A3">
        <w:rPr>
          <w:lang w:val="da-DK"/>
        </w:rPr>
        <w:t>(e)</w:t>
      </w:r>
      <w:r w:rsidR="00681D88">
        <w:rPr>
          <w:lang w:val="da-DK"/>
        </w:rPr>
        <w:t xml:space="preserve"> eller dennes</w:t>
      </w:r>
      <w:r w:rsidR="00B251A3">
        <w:rPr>
          <w:lang w:val="da-DK"/>
        </w:rPr>
        <w:t>/deres</w:t>
      </w:r>
      <w:r w:rsidR="00681D88">
        <w:rPr>
          <w:lang w:val="da-DK"/>
        </w:rPr>
        <w:t xml:space="preserve"> interessenter som anvendere af løsningen</w:t>
      </w:r>
      <w:r w:rsidR="00B453D0">
        <w:rPr>
          <w:lang w:val="da-DK"/>
        </w:rPr>
        <w:t xml:space="preserve"> ikke opnår </w:t>
      </w:r>
      <w:r w:rsidR="00681D88">
        <w:rPr>
          <w:lang w:val="da-DK"/>
        </w:rPr>
        <w:t>eller</w:t>
      </w:r>
      <w:r w:rsidR="000523EF" w:rsidRPr="00DF2A19">
        <w:rPr>
          <w:lang w:val="da-DK"/>
        </w:rPr>
        <w:t xml:space="preserve"> modtager en økonomisk fordel, som </w:t>
      </w:r>
      <w:r w:rsidR="00681D88">
        <w:rPr>
          <w:lang w:val="da-DK"/>
        </w:rPr>
        <w:t>de</w:t>
      </w:r>
      <w:r w:rsidR="00681D88" w:rsidRPr="00DF2A19">
        <w:rPr>
          <w:lang w:val="da-DK"/>
        </w:rPr>
        <w:t xml:space="preserve"> </w:t>
      </w:r>
      <w:r w:rsidR="000523EF" w:rsidRPr="00DF2A19">
        <w:rPr>
          <w:lang w:val="da-DK"/>
        </w:rPr>
        <w:t>ikke ville have opnået på markedsvilkår</w:t>
      </w:r>
      <w:r w:rsidR="000523EF">
        <w:rPr>
          <w:lang w:val="da-DK"/>
        </w:rPr>
        <w:t xml:space="preserve">. </w:t>
      </w:r>
    </w:p>
    <w:p w:rsidR="00B52648" w:rsidRDefault="00B52648" w:rsidP="00B52648">
      <w:pPr>
        <w:pStyle w:val="Overskrift3"/>
        <w:rPr>
          <w:lang w:val="da-DK"/>
        </w:rPr>
      </w:pPr>
      <w:r>
        <w:rPr>
          <w:lang w:val="da-DK"/>
        </w:rPr>
        <w:t>Økonomi og finansiering</w:t>
      </w:r>
    </w:p>
    <w:p w:rsidR="00916F26" w:rsidRDefault="00916F26" w:rsidP="00DE6CEF">
      <w:pPr>
        <w:rPr>
          <w:lang w:val="da-DK"/>
        </w:rPr>
      </w:pPr>
      <w:r>
        <w:rPr>
          <w:lang w:val="da-DK"/>
        </w:rPr>
        <w:t xml:space="preserve">Det er </w:t>
      </w:r>
      <w:r w:rsidR="0066571B">
        <w:rPr>
          <w:lang w:val="da-DK"/>
        </w:rPr>
        <w:t>tanken</w:t>
      </w:r>
      <w:r w:rsidR="0025147F">
        <w:rPr>
          <w:lang w:val="da-DK"/>
        </w:rPr>
        <w:t xml:space="preserve">, at partnerskabet </w:t>
      </w:r>
      <w:r w:rsidR="0066571B">
        <w:rPr>
          <w:lang w:val="da-DK"/>
        </w:rPr>
        <w:t>skal være</w:t>
      </w:r>
      <w:r w:rsidR="003803CE">
        <w:rPr>
          <w:lang w:val="da-DK"/>
        </w:rPr>
        <w:t xml:space="preserve"> </w:t>
      </w:r>
      <w:r w:rsidR="0066571B">
        <w:rPr>
          <w:lang w:val="da-DK"/>
        </w:rPr>
        <w:t>underlagt</w:t>
      </w:r>
      <w:r w:rsidR="0025147F">
        <w:rPr>
          <w:lang w:val="da-DK"/>
        </w:rPr>
        <w:t xml:space="preserve"> et </w:t>
      </w:r>
      <w:r w:rsidR="002D28D1">
        <w:rPr>
          <w:lang w:val="da-DK"/>
        </w:rPr>
        <w:t>”</w:t>
      </w:r>
      <w:r w:rsidR="0025147F">
        <w:rPr>
          <w:lang w:val="da-DK"/>
        </w:rPr>
        <w:t>hvile-i-sig-selv</w:t>
      </w:r>
      <w:r w:rsidR="002D28D1">
        <w:rPr>
          <w:lang w:val="da-DK"/>
        </w:rPr>
        <w:t>”</w:t>
      </w:r>
      <w:r w:rsidR="0025147F">
        <w:rPr>
          <w:lang w:val="da-DK"/>
        </w:rPr>
        <w:t>-princip,</w:t>
      </w:r>
      <w:r w:rsidR="0066571B">
        <w:rPr>
          <w:lang w:val="da-DK"/>
        </w:rPr>
        <w:t xml:space="preserve"> hvorved forstås, at partnerne ikke kan </w:t>
      </w:r>
      <w:r w:rsidR="0066571B" w:rsidRPr="002D28D1">
        <w:rPr>
          <w:lang w:val="da-DK"/>
        </w:rPr>
        <w:t>generere et afkast af deres investering</w:t>
      </w:r>
      <w:r w:rsidR="0066571B">
        <w:rPr>
          <w:lang w:val="da-DK"/>
        </w:rPr>
        <w:t xml:space="preserve"> i p</w:t>
      </w:r>
      <w:bookmarkStart w:id="4" w:name="_GoBack"/>
      <w:bookmarkEnd w:id="4"/>
      <w:r w:rsidR="0066571B">
        <w:rPr>
          <w:lang w:val="da-DK"/>
        </w:rPr>
        <w:t>artnerskabet.</w:t>
      </w:r>
      <w:r w:rsidR="0025147F">
        <w:rPr>
          <w:lang w:val="da-DK"/>
        </w:rPr>
        <w:t xml:space="preserve"> </w:t>
      </w:r>
      <w:r w:rsidR="00204F63">
        <w:rPr>
          <w:lang w:val="da-DK"/>
        </w:rPr>
        <w:t>Et ”</w:t>
      </w:r>
      <w:r w:rsidR="00204F63" w:rsidRPr="00DF2A19">
        <w:rPr>
          <w:lang w:val="da-DK"/>
        </w:rPr>
        <w:t>hvile i sig selv</w:t>
      </w:r>
      <w:r w:rsidR="00204F63">
        <w:rPr>
          <w:lang w:val="da-DK"/>
        </w:rPr>
        <w:t xml:space="preserve">”-princip </w:t>
      </w:r>
      <w:r w:rsidR="0066571B">
        <w:rPr>
          <w:lang w:val="da-DK"/>
        </w:rPr>
        <w:t xml:space="preserve">kan </w:t>
      </w:r>
      <w:r w:rsidR="00204F63">
        <w:rPr>
          <w:lang w:val="da-DK"/>
        </w:rPr>
        <w:t xml:space="preserve">– sammen med </w:t>
      </w:r>
      <w:r w:rsidR="00204F63" w:rsidRPr="00DF2A19">
        <w:rPr>
          <w:lang w:val="da-DK"/>
        </w:rPr>
        <w:t xml:space="preserve">partnerskabets </w:t>
      </w:r>
      <w:r w:rsidR="00204F63">
        <w:rPr>
          <w:lang w:val="da-DK"/>
        </w:rPr>
        <w:t xml:space="preserve">manglende </w:t>
      </w:r>
      <w:r w:rsidR="00204F63" w:rsidRPr="00DF2A19">
        <w:rPr>
          <w:lang w:val="da-DK"/>
        </w:rPr>
        <w:t xml:space="preserve">mulighed for at forfølge andre kommercielle aktiviteter </w:t>
      </w:r>
      <w:r w:rsidR="00204F63">
        <w:rPr>
          <w:lang w:val="da-DK"/>
        </w:rPr>
        <w:t xml:space="preserve">– </w:t>
      </w:r>
      <w:r w:rsidR="00204F63" w:rsidRPr="00DF2A19">
        <w:rPr>
          <w:lang w:val="da-DK"/>
        </w:rPr>
        <w:t xml:space="preserve">medvirke til, at der ikke ydes </w:t>
      </w:r>
      <w:r w:rsidR="00204F63">
        <w:rPr>
          <w:lang w:val="da-DK"/>
        </w:rPr>
        <w:t xml:space="preserve">statsstøtte til de deltagende virksomheder eller </w:t>
      </w:r>
      <w:r w:rsidR="00204F63" w:rsidRPr="00DF2A19">
        <w:rPr>
          <w:lang w:val="da-DK"/>
        </w:rPr>
        <w:t>en overkompensation til partnerskabet, der kan anvendes til konkurrenceforvridning.</w:t>
      </w:r>
      <w:r w:rsidR="00204F63">
        <w:rPr>
          <w:lang w:val="da-DK"/>
        </w:rPr>
        <w:t xml:space="preserve"> </w:t>
      </w:r>
      <w:r w:rsidR="00351166">
        <w:rPr>
          <w:lang w:val="da-DK"/>
        </w:rPr>
        <w:t xml:space="preserve">Fordelene ved at deltage i partnerskabet </w:t>
      </w:r>
      <w:r w:rsidR="00204F63">
        <w:rPr>
          <w:lang w:val="da-DK"/>
        </w:rPr>
        <w:t>vil således ikke være opnåelse af et løbende økonomisk overskud, men</w:t>
      </w:r>
      <w:r w:rsidR="00351166">
        <w:rPr>
          <w:lang w:val="da-DK"/>
        </w:rPr>
        <w:t xml:space="preserve"> </w:t>
      </w:r>
      <w:r w:rsidR="00204F63">
        <w:rPr>
          <w:lang w:val="da-DK"/>
        </w:rPr>
        <w:t xml:space="preserve">vil være </w:t>
      </w:r>
      <w:r w:rsidR="00351166">
        <w:rPr>
          <w:lang w:val="da-DK"/>
        </w:rPr>
        <w:t xml:space="preserve">kompetencedeling, fælles </w:t>
      </w:r>
      <w:r w:rsidR="00204F63">
        <w:rPr>
          <w:lang w:val="da-DK"/>
        </w:rPr>
        <w:t>udvikling</w:t>
      </w:r>
      <w:r w:rsidR="002D28D1">
        <w:rPr>
          <w:lang w:val="da-DK"/>
        </w:rPr>
        <w:t>,</w:t>
      </w:r>
      <w:r w:rsidR="00204F63">
        <w:rPr>
          <w:lang w:val="da-DK"/>
        </w:rPr>
        <w:t xml:space="preserve"> drift </w:t>
      </w:r>
      <w:r w:rsidR="002D28D1">
        <w:rPr>
          <w:lang w:val="da-DK"/>
        </w:rPr>
        <w:t xml:space="preserve">og videreudvikling </w:t>
      </w:r>
      <w:r w:rsidR="00204F63">
        <w:rPr>
          <w:lang w:val="da-DK"/>
        </w:rPr>
        <w:t xml:space="preserve">samt opnåelse af </w:t>
      </w:r>
      <w:r w:rsidR="00351166">
        <w:rPr>
          <w:lang w:val="da-DK"/>
        </w:rPr>
        <w:t>høj brugervenlighed</w:t>
      </w:r>
      <w:r w:rsidR="00204F63">
        <w:rPr>
          <w:lang w:val="da-DK"/>
        </w:rPr>
        <w:t xml:space="preserve">, </w:t>
      </w:r>
      <w:r w:rsidR="00351166">
        <w:rPr>
          <w:lang w:val="da-DK"/>
        </w:rPr>
        <w:t xml:space="preserve">udbredelse og anvendelsesfrekvens. </w:t>
      </w:r>
    </w:p>
    <w:p w:rsidR="00351166" w:rsidRDefault="00351166" w:rsidP="00DE6CEF">
      <w:pPr>
        <w:rPr>
          <w:lang w:val="da-DK"/>
        </w:rPr>
      </w:pPr>
    </w:p>
    <w:p w:rsidR="005C5870" w:rsidRDefault="00351166">
      <w:pPr>
        <w:rPr>
          <w:lang w:val="da-DK"/>
        </w:rPr>
      </w:pPr>
      <w:r>
        <w:rPr>
          <w:lang w:val="da-DK"/>
        </w:rPr>
        <w:t xml:space="preserve">Såfremt der ikke skal genereres et overskud i partnerskabet, skal partnerskabets økonomi alene dække udgifter forbundet med drift af hhv. partnerskabet som organisation og drift </w:t>
      </w:r>
      <w:r w:rsidR="000140C7">
        <w:rPr>
          <w:lang w:val="da-DK"/>
        </w:rPr>
        <w:t xml:space="preserve">og videreudvikling </w:t>
      </w:r>
      <w:r>
        <w:rPr>
          <w:lang w:val="da-DK"/>
        </w:rPr>
        <w:t xml:space="preserve">af selve løsningen. Der skal derfor findes en </w:t>
      </w:r>
      <w:r w:rsidRPr="00B52648">
        <w:rPr>
          <w:lang w:val="da-DK"/>
        </w:rPr>
        <w:t xml:space="preserve">finansieringsmodel, </w:t>
      </w:r>
      <w:r w:rsidRPr="00CE345E">
        <w:rPr>
          <w:lang w:val="da-DK"/>
        </w:rPr>
        <w:t xml:space="preserve">som understøtter dette. For spørgsmålet om finansiering og betalingsstrømme, se i øvrigt bilag </w:t>
      </w:r>
      <w:r w:rsidR="004A26E4" w:rsidRPr="00CE345E">
        <w:rPr>
          <w:lang w:val="da-DK"/>
        </w:rPr>
        <w:t>2</w:t>
      </w:r>
      <w:r w:rsidR="00BC6889" w:rsidRPr="00CE345E">
        <w:rPr>
          <w:lang w:val="da-DK"/>
        </w:rPr>
        <w:t>a</w:t>
      </w:r>
      <w:r w:rsidRPr="00CE345E">
        <w:rPr>
          <w:lang w:val="da-DK"/>
        </w:rPr>
        <w:t>, Tegning</w:t>
      </w:r>
      <w:r w:rsidRPr="00B52648">
        <w:rPr>
          <w:lang w:val="da-DK"/>
        </w:rPr>
        <w:t xml:space="preserve"> over parter i betalingsstrømmene. </w:t>
      </w:r>
    </w:p>
    <w:p w:rsidR="00B52648" w:rsidRDefault="00B52648" w:rsidP="00B52648">
      <w:pPr>
        <w:pStyle w:val="Overskrift3"/>
        <w:rPr>
          <w:lang w:val="da-DK"/>
        </w:rPr>
      </w:pPr>
      <w:r>
        <w:rPr>
          <w:lang w:val="da-DK"/>
        </w:rPr>
        <w:t xml:space="preserve">Partnerskabets </w:t>
      </w:r>
      <w:r w:rsidR="00491792">
        <w:rPr>
          <w:lang w:val="da-DK"/>
        </w:rPr>
        <w:t xml:space="preserve">forventede </w:t>
      </w:r>
      <w:r>
        <w:rPr>
          <w:lang w:val="da-DK"/>
        </w:rPr>
        <w:t>status af offentligt organ</w:t>
      </w:r>
    </w:p>
    <w:p w:rsidR="00B453D0" w:rsidRDefault="00B85015">
      <w:pPr>
        <w:rPr>
          <w:lang w:val="da-DK"/>
        </w:rPr>
      </w:pPr>
      <w:r>
        <w:rPr>
          <w:lang w:val="da-DK"/>
        </w:rPr>
        <w:t xml:space="preserve">Det må forventes, at et institutionelt partnerskab vil blive opfattet som værende et offentligretligt organ. Der tages derfor udgangspunkt i, at et institutionelt partnerskab er </w:t>
      </w:r>
      <w:r w:rsidR="00B453D0">
        <w:rPr>
          <w:lang w:val="da-DK"/>
        </w:rPr>
        <w:t xml:space="preserve">underlagt </w:t>
      </w:r>
      <w:r w:rsidR="00B453D0" w:rsidRPr="00B52648">
        <w:rPr>
          <w:lang w:val="da-DK"/>
        </w:rPr>
        <w:t>offentlighedsloven</w:t>
      </w:r>
      <w:r w:rsidR="000140C7">
        <w:rPr>
          <w:lang w:val="da-DK"/>
        </w:rPr>
        <w:t xml:space="preserve">, </w:t>
      </w:r>
      <w:r w:rsidR="008E35FC">
        <w:rPr>
          <w:lang w:val="da-DK"/>
        </w:rPr>
        <w:t xml:space="preserve">udbudsreglerne </w:t>
      </w:r>
      <w:r w:rsidR="000140C7">
        <w:rPr>
          <w:lang w:val="da-DK"/>
        </w:rPr>
        <w:t>og anden offentligretlige regulering.</w:t>
      </w:r>
      <w:r w:rsidR="00B453D0">
        <w:rPr>
          <w:lang w:val="da-DK"/>
        </w:rPr>
        <w:t xml:space="preserve"> </w:t>
      </w:r>
      <w:r>
        <w:rPr>
          <w:lang w:val="da-DK"/>
        </w:rPr>
        <w:t xml:space="preserve">Dette betyder, at </w:t>
      </w:r>
      <w:r w:rsidR="00B453D0">
        <w:rPr>
          <w:lang w:val="da-DK"/>
        </w:rPr>
        <w:t>tilvejebringelsen af partnerskabets løsning skal ske efter et udbud</w:t>
      </w:r>
      <w:r>
        <w:rPr>
          <w:lang w:val="da-DK"/>
        </w:rPr>
        <w:t>, hvor</w:t>
      </w:r>
      <w:r w:rsidR="00B453D0">
        <w:rPr>
          <w:lang w:val="da-DK"/>
        </w:rPr>
        <w:t xml:space="preserve"> partnerskabet </w:t>
      </w:r>
      <w:r>
        <w:rPr>
          <w:lang w:val="da-DK"/>
        </w:rPr>
        <w:t xml:space="preserve">således </w:t>
      </w:r>
      <w:r w:rsidR="00A94E06">
        <w:rPr>
          <w:lang w:val="da-DK"/>
        </w:rPr>
        <w:t xml:space="preserve">først </w:t>
      </w:r>
      <w:r w:rsidR="00B453D0">
        <w:rPr>
          <w:lang w:val="da-DK"/>
        </w:rPr>
        <w:t xml:space="preserve">skal kravspecificere den ønskede løsning </w:t>
      </w:r>
      <w:r w:rsidR="008E35FC">
        <w:rPr>
          <w:lang w:val="da-DK"/>
        </w:rPr>
        <w:t>for</w:t>
      </w:r>
      <w:r w:rsidR="00B453D0">
        <w:rPr>
          <w:lang w:val="da-DK"/>
        </w:rPr>
        <w:t xml:space="preserve"> herefter</w:t>
      </w:r>
      <w:r w:rsidR="008E35FC">
        <w:rPr>
          <w:lang w:val="da-DK"/>
        </w:rPr>
        <w:t xml:space="preserve"> at</w:t>
      </w:r>
      <w:r w:rsidR="00B453D0">
        <w:rPr>
          <w:lang w:val="da-DK"/>
        </w:rPr>
        <w:t xml:space="preserve"> udvælge og indgå kontrakt med en</w:t>
      </w:r>
      <w:r>
        <w:rPr>
          <w:lang w:val="da-DK"/>
        </w:rPr>
        <w:t xml:space="preserve"> eller flere</w:t>
      </w:r>
      <w:r w:rsidR="00B453D0">
        <w:rPr>
          <w:lang w:val="da-DK"/>
        </w:rPr>
        <w:t xml:space="preserve"> leverandør</w:t>
      </w:r>
      <w:r>
        <w:rPr>
          <w:lang w:val="da-DK"/>
        </w:rPr>
        <w:t>er</w:t>
      </w:r>
      <w:r w:rsidR="008E35FC">
        <w:rPr>
          <w:lang w:val="da-DK"/>
        </w:rPr>
        <w:t xml:space="preserve"> af den ønskede løsning</w:t>
      </w:r>
      <w:r w:rsidR="00A94E06">
        <w:rPr>
          <w:lang w:val="da-DK"/>
        </w:rPr>
        <w:t>.</w:t>
      </w:r>
      <w:r w:rsidR="00B453D0">
        <w:rPr>
          <w:lang w:val="da-DK"/>
        </w:rPr>
        <w:t xml:space="preserve"> </w:t>
      </w:r>
    </w:p>
    <w:p w:rsidR="00B52648" w:rsidRDefault="00B52648" w:rsidP="00B52648">
      <w:pPr>
        <w:pStyle w:val="Overskrift3"/>
        <w:rPr>
          <w:lang w:val="da-DK"/>
        </w:rPr>
      </w:pPr>
      <w:r>
        <w:rPr>
          <w:lang w:val="da-DK"/>
        </w:rPr>
        <w:t>Ejerskab eller rettigheder til løsningen</w:t>
      </w:r>
    </w:p>
    <w:p w:rsidR="00C22341" w:rsidRDefault="00B453D0">
      <w:pPr>
        <w:rPr>
          <w:lang w:val="da-DK"/>
        </w:rPr>
      </w:pPr>
      <w:r w:rsidRPr="00B12DD0">
        <w:rPr>
          <w:lang w:val="da-DK"/>
        </w:rPr>
        <w:t>Ejerskabet</w:t>
      </w:r>
      <w:r>
        <w:rPr>
          <w:lang w:val="da-DK"/>
        </w:rPr>
        <w:t xml:space="preserve"> </w:t>
      </w:r>
      <w:r w:rsidR="00B251A3">
        <w:rPr>
          <w:lang w:val="da-DK"/>
        </w:rPr>
        <w:t xml:space="preserve">til </w:t>
      </w:r>
      <w:r>
        <w:rPr>
          <w:lang w:val="da-DK"/>
        </w:rPr>
        <w:t>løsning</w:t>
      </w:r>
      <w:r w:rsidR="00AC3762">
        <w:rPr>
          <w:lang w:val="da-DK"/>
        </w:rPr>
        <w:t>en</w:t>
      </w:r>
      <w:r>
        <w:rPr>
          <w:lang w:val="da-DK"/>
        </w:rPr>
        <w:t xml:space="preserve"> </w:t>
      </w:r>
      <w:r w:rsidR="00AC3762">
        <w:rPr>
          <w:lang w:val="da-DK"/>
        </w:rPr>
        <w:t>vil</w:t>
      </w:r>
      <w:r>
        <w:rPr>
          <w:lang w:val="da-DK"/>
        </w:rPr>
        <w:t xml:space="preserve"> </w:t>
      </w:r>
      <w:r w:rsidR="00AC3762">
        <w:rPr>
          <w:lang w:val="da-DK"/>
        </w:rPr>
        <w:t xml:space="preserve">være </w:t>
      </w:r>
      <w:r>
        <w:rPr>
          <w:lang w:val="da-DK"/>
        </w:rPr>
        <w:t>hos partnerskab</w:t>
      </w:r>
      <w:r w:rsidR="006072DD">
        <w:rPr>
          <w:lang w:val="da-DK"/>
        </w:rPr>
        <w:t>et selv</w:t>
      </w:r>
      <w:r w:rsidR="0034586D">
        <w:rPr>
          <w:lang w:val="da-DK"/>
        </w:rPr>
        <w:t>, hos én af partnerne</w:t>
      </w:r>
      <w:r w:rsidR="006072DD">
        <w:rPr>
          <w:lang w:val="da-DK"/>
        </w:rPr>
        <w:t xml:space="preserve"> eller hos leverandøren, og der kan </w:t>
      </w:r>
      <w:r w:rsidR="00AC3762">
        <w:rPr>
          <w:lang w:val="da-DK"/>
        </w:rPr>
        <w:t xml:space="preserve">i den sammenhæng </w:t>
      </w:r>
      <w:r w:rsidR="00BC6889">
        <w:rPr>
          <w:lang w:val="da-DK"/>
        </w:rPr>
        <w:t>formuleres</w:t>
      </w:r>
      <w:r w:rsidR="006072DD">
        <w:rPr>
          <w:lang w:val="da-DK"/>
        </w:rPr>
        <w:t xml:space="preserve"> </w:t>
      </w:r>
      <w:r w:rsidR="00AC3762">
        <w:rPr>
          <w:lang w:val="da-DK"/>
        </w:rPr>
        <w:t xml:space="preserve">hele eller delvise </w:t>
      </w:r>
      <w:r w:rsidR="006072DD">
        <w:rPr>
          <w:lang w:val="da-DK"/>
        </w:rPr>
        <w:t xml:space="preserve">brugsrettigheder og </w:t>
      </w:r>
      <w:r w:rsidR="00AC3762">
        <w:rPr>
          <w:lang w:val="da-DK"/>
        </w:rPr>
        <w:t xml:space="preserve">helt eller delvist </w:t>
      </w:r>
      <w:r w:rsidR="006072DD">
        <w:rPr>
          <w:lang w:val="da-DK"/>
        </w:rPr>
        <w:t>ejerskab til forskellige data</w:t>
      </w:r>
      <w:r w:rsidR="00AC3762">
        <w:rPr>
          <w:lang w:val="da-DK"/>
        </w:rPr>
        <w:t>/dele af løsningen</w:t>
      </w:r>
      <w:r w:rsidR="006072DD">
        <w:rPr>
          <w:lang w:val="da-DK"/>
        </w:rPr>
        <w:t xml:space="preserve">. </w:t>
      </w:r>
    </w:p>
    <w:p w:rsidR="00B52648" w:rsidRDefault="00B52648" w:rsidP="00B52648">
      <w:pPr>
        <w:pStyle w:val="Overskrift3"/>
        <w:rPr>
          <w:lang w:val="da-DK"/>
        </w:rPr>
      </w:pPr>
      <w:r>
        <w:rPr>
          <w:lang w:val="da-DK"/>
        </w:rPr>
        <w:t>Partnerskabets varighed</w:t>
      </w:r>
    </w:p>
    <w:p w:rsidR="00C22341" w:rsidRDefault="00C22341">
      <w:pPr>
        <w:rPr>
          <w:lang w:val="da-DK"/>
        </w:rPr>
      </w:pPr>
      <w:r w:rsidRPr="00B52648">
        <w:rPr>
          <w:lang w:val="da-DK"/>
        </w:rPr>
        <w:t>Varigheden</w:t>
      </w:r>
      <w:r>
        <w:rPr>
          <w:lang w:val="da-DK"/>
        </w:rPr>
        <w:t xml:space="preserve"> af partnerskabet vil </w:t>
      </w:r>
      <w:r w:rsidR="00B12DD0">
        <w:rPr>
          <w:lang w:val="da-DK"/>
        </w:rPr>
        <w:t xml:space="preserve">fx </w:t>
      </w:r>
      <w:r>
        <w:rPr>
          <w:lang w:val="da-DK"/>
        </w:rPr>
        <w:t xml:space="preserve">kunne fastsættes til at følge </w:t>
      </w:r>
      <w:r w:rsidR="00B251A3">
        <w:rPr>
          <w:lang w:val="da-DK"/>
        </w:rPr>
        <w:t xml:space="preserve">varigheden af </w:t>
      </w:r>
      <w:r>
        <w:rPr>
          <w:lang w:val="da-DK"/>
        </w:rPr>
        <w:t xml:space="preserve">kontrakten med leverandøren af partnerskabets løsning, dvs. at partnerskabet opløses, når kontrakten udløber. Partnerskabet vil også kunne etableres </w:t>
      </w:r>
      <w:r w:rsidR="00B12DD0" w:rsidRPr="00C9135F">
        <w:rPr>
          <w:lang w:val="da-DK"/>
        </w:rPr>
        <w:t>på et længerevarende grundlag</w:t>
      </w:r>
      <w:r w:rsidR="00B251A3">
        <w:rPr>
          <w:lang w:val="da-DK"/>
        </w:rPr>
        <w:t>, fx</w:t>
      </w:r>
      <w:r w:rsidR="00B12DD0" w:rsidRPr="00C9135F">
        <w:rPr>
          <w:lang w:val="da-DK"/>
        </w:rPr>
        <w:t xml:space="preserve"> med løbende udbud af de til enhver tid mest tidssvarende løsninger. </w:t>
      </w:r>
      <w:r w:rsidR="00216979">
        <w:rPr>
          <w:lang w:val="da-DK"/>
        </w:rPr>
        <w:t xml:space="preserve">Det </w:t>
      </w:r>
      <w:r w:rsidR="00D01979">
        <w:rPr>
          <w:lang w:val="da-DK"/>
        </w:rPr>
        <w:t>skal</w:t>
      </w:r>
      <w:r w:rsidR="00216979">
        <w:rPr>
          <w:lang w:val="da-DK"/>
        </w:rPr>
        <w:t xml:space="preserve"> i så fald beskrives, hvorledes partnerskabet </w:t>
      </w:r>
      <w:r w:rsidR="0034586D">
        <w:rPr>
          <w:lang w:val="da-DK"/>
        </w:rPr>
        <w:t xml:space="preserve">eller partnerskabsaftalen </w:t>
      </w:r>
      <w:r w:rsidR="00D01979">
        <w:rPr>
          <w:lang w:val="da-DK"/>
        </w:rPr>
        <w:t xml:space="preserve">kan </w:t>
      </w:r>
      <w:r w:rsidR="00216979">
        <w:rPr>
          <w:lang w:val="da-DK"/>
        </w:rPr>
        <w:t>opløses</w:t>
      </w:r>
      <w:r w:rsidR="00AA7FEE">
        <w:rPr>
          <w:lang w:val="da-DK"/>
        </w:rPr>
        <w:t xml:space="preserve"> </w:t>
      </w:r>
      <w:r w:rsidR="0034586D">
        <w:rPr>
          <w:lang w:val="da-DK"/>
        </w:rPr>
        <w:t xml:space="preserve">hhv. ophæves </w:t>
      </w:r>
      <w:r w:rsidR="00AA7FEE">
        <w:rPr>
          <w:lang w:val="da-DK"/>
        </w:rPr>
        <w:t xml:space="preserve">efter et kontraktophør med leverandøren af den </w:t>
      </w:r>
      <w:r w:rsidR="006D7F7F">
        <w:rPr>
          <w:lang w:val="da-DK"/>
        </w:rPr>
        <w:t xml:space="preserve">på det pågældende tidspunkt </w:t>
      </w:r>
      <w:r w:rsidR="008E35FC">
        <w:rPr>
          <w:lang w:val="da-DK"/>
        </w:rPr>
        <w:t xml:space="preserve">eksisterende </w:t>
      </w:r>
      <w:r w:rsidR="00AA7FEE">
        <w:rPr>
          <w:lang w:val="da-DK"/>
        </w:rPr>
        <w:t xml:space="preserve">løsning. </w:t>
      </w:r>
    </w:p>
    <w:p w:rsidR="00B453D0" w:rsidRDefault="00B453D0">
      <w:pPr>
        <w:rPr>
          <w:lang w:val="da-DK"/>
        </w:rPr>
      </w:pPr>
    </w:p>
    <w:sectPr w:rsidR="00B453D0" w:rsidSect="00036755">
      <w:headerReference w:type="default" r:id="rId16"/>
      <w:type w:val="continuous"/>
      <w:pgSz w:w="11907" w:h="16840" w:code="9"/>
      <w:pgMar w:top="2381" w:right="2835" w:bottom="1361" w:left="1418" w:header="2325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6">
      <wne:acd wne:acdName="acd1"/>
    </wne:keymap>
    <wne:keymap wne:kcmPrimary="0237">
      <wne:acd wne:acdName="acd0"/>
    </wne:keymap>
  </wne:keymaps>
  <wne:toolbars>
    <wne:acdManifest>
      <wne:acdEntry wne:acdName="acd0"/>
      <wne:acdEntry wne:acdName="acd1"/>
    </wne:acdManifest>
  </wne:toolbars>
  <wne:acds>
    <wne:acd wne:argValue="AgBUAGEAYgBlAGwAVABhAGwA" wne:acdName="acd0" wne:fciIndexBasedOn="0065"/>
    <wne:acd wne:argValue="AgBUAGEAYgBlAGwAdABlAGsAcwB0AA==" wne:acdName="acd1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64D" w:rsidRDefault="00D2464D">
      <w:r>
        <w:separator/>
      </w:r>
    </w:p>
  </w:endnote>
  <w:endnote w:type="continuationSeparator" w:id="0">
    <w:p w:rsidR="00D2464D" w:rsidRDefault="00D2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C30" w:rsidRDefault="00BC7C3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C30" w:rsidRDefault="00BC7C30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C30" w:rsidRDefault="00BC7C3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64D" w:rsidRDefault="00D2464D">
      <w:r>
        <w:separator/>
      </w:r>
    </w:p>
  </w:footnote>
  <w:footnote w:type="continuationSeparator" w:id="0">
    <w:p w:rsidR="00D2464D" w:rsidRDefault="00D24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C30" w:rsidRDefault="00BC7C3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C30" w:rsidRDefault="00BC7C30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C30" w:rsidRDefault="00BC7C30">
    <w:pPr>
      <w:pStyle w:val="Sidehove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F62" w:rsidRPr="00036755" w:rsidRDefault="00753F62" w:rsidP="00036755">
    <w:pPr>
      <w:pStyle w:val="Sidehoved"/>
      <w:tabs>
        <w:tab w:val="clear" w:pos="4819"/>
        <w:tab w:val="clear" w:pos="9638"/>
        <w:tab w:val="left" w:pos="7881"/>
      </w:tabs>
      <w:rPr>
        <w:lang w:val="da-DK"/>
      </w:rPr>
    </w:pPr>
    <w:r>
      <w:rPr>
        <w:lang w:val="da-DK"/>
      </w:rPr>
      <w:tab/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99198E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99198E">
      <w:rPr>
        <w:rStyle w:val="Sidetal"/>
        <w:noProof/>
      </w:rPr>
      <w:t>2</w:t>
    </w:r>
    <w:r>
      <w:rPr>
        <w:rStyle w:val="Sideta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D36BC6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A92ACC"/>
    <w:multiLevelType w:val="multilevel"/>
    <w:tmpl w:val="2B0A6AD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</w:rPr>
    </w:lvl>
  </w:abstractNum>
  <w:abstractNum w:abstractNumId="2">
    <w:nsid w:val="1AEB5469"/>
    <w:multiLevelType w:val="hybridMultilevel"/>
    <w:tmpl w:val="4F68B938"/>
    <w:lvl w:ilvl="0" w:tplc="9B6E42E2">
      <w:start w:val="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61A60"/>
    <w:multiLevelType w:val="multilevel"/>
    <w:tmpl w:val="453EC25A"/>
    <w:lvl w:ilvl="0">
      <w:start w:val="1"/>
      <w:numFmt w:val="bullet"/>
      <w:lvlRestart w:val="0"/>
      <w:lvlText w:val=""/>
      <w:lvlJc w:val="left"/>
      <w:pPr>
        <w:tabs>
          <w:tab w:val="num" w:pos="-5040"/>
        </w:tabs>
        <w:ind w:left="-50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-5060" w:hanging="17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-4890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-4720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-4550" w:hanging="17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-4380" w:hanging="17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-4210" w:hanging="17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-4040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-3870" w:hanging="170"/>
      </w:pPr>
      <w:rPr>
        <w:rFonts w:ascii="Symbol" w:hAnsi="Symbol" w:hint="default"/>
      </w:rPr>
    </w:lvl>
  </w:abstractNum>
  <w:abstractNum w:abstractNumId="4">
    <w:nsid w:val="54767E0A"/>
    <w:multiLevelType w:val="multilevel"/>
    <w:tmpl w:val="4BBA98D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OESNotat"/>
  <w:characterSpacingControl w:val="doNotCompress"/>
  <w:hdrShapeDefaults>
    <o:shapedefaults v:ext="edit" spidmax="2457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15"/>
    <w:rsid w:val="00003923"/>
    <w:rsid w:val="000140C7"/>
    <w:rsid w:val="00036755"/>
    <w:rsid w:val="000523EF"/>
    <w:rsid w:val="00083A6D"/>
    <w:rsid w:val="000A2C64"/>
    <w:rsid w:val="000B5899"/>
    <w:rsid w:val="000C2AFF"/>
    <w:rsid w:val="000D0680"/>
    <w:rsid w:val="000D5E34"/>
    <w:rsid w:val="000F4045"/>
    <w:rsid w:val="00111DF8"/>
    <w:rsid w:val="001128CF"/>
    <w:rsid w:val="00112C20"/>
    <w:rsid w:val="00116C36"/>
    <w:rsid w:val="001221C9"/>
    <w:rsid w:val="001278E2"/>
    <w:rsid w:val="00146180"/>
    <w:rsid w:val="00146DE0"/>
    <w:rsid w:val="00153F2E"/>
    <w:rsid w:val="0015490E"/>
    <w:rsid w:val="00155BA4"/>
    <w:rsid w:val="00170F8E"/>
    <w:rsid w:val="0017108E"/>
    <w:rsid w:val="00185155"/>
    <w:rsid w:val="001A03FB"/>
    <w:rsid w:val="001A1553"/>
    <w:rsid w:val="001A6523"/>
    <w:rsid w:val="001B2B7B"/>
    <w:rsid w:val="001E03CF"/>
    <w:rsid w:val="001F2C84"/>
    <w:rsid w:val="001F679E"/>
    <w:rsid w:val="0020326A"/>
    <w:rsid w:val="00203EEE"/>
    <w:rsid w:val="00204F63"/>
    <w:rsid w:val="00214152"/>
    <w:rsid w:val="00216979"/>
    <w:rsid w:val="00221CA3"/>
    <w:rsid w:val="00226427"/>
    <w:rsid w:val="00226E27"/>
    <w:rsid w:val="002321B4"/>
    <w:rsid w:val="002453D4"/>
    <w:rsid w:val="0025147F"/>
    <w:rsid w:val="00270C51"/>
    <w:rsid w:val="0028333E"/>
    <w:rsid w:val="002A5BA0"/>
    <w:rsid w:val="002A786E"/>
    <w:rsid w:val="002D28D1"/>
    <w:rsid w:val="002D3946"/>
    <w:rsid w:val="002E4DE5"/>
    <w:rsid w:val="0032081F"/>
    <w:rsid w:val="00341E7C"/>
    <w:rsid w:val="0034586D"/>
    <w:rsid w:val="00351166"/>
    <w:rsid w:val="0037071B"/>
    <w:rsid w:val="003803CE"/>
    <w:rsid w:val="0038375C"/>
    <w:rsid w:val="00394026"/>
    <w:rsid w:val="003C265A"/>
    <w:rsid w:val="003C7A67"/>
    <w:rsid w:val="003C7D25"/>
    <w:rsid w:val="003D1971"/>
    <w:rsid w:val="003E59BC"/>
    <w:rsid w:val="00414F0A"/>
    <w:rsid w:val="004632B7"/>
    <w:rsid w:val="00472B2B"/>
    <w:rsid w:val="004735E3"/>
    <w:rsid w:val="00474208"/>
    <w:rsid w:val="00491792"/>
    <w:rsid w:val="004A26E4"/>
    <w:rsid w:val="004E4A34"/>
    <w:rsid w:val="00514B31"/>
    <w:rsid w:val="00517A1D"/>
    <w:rsid w:val="00537AD3"/>
    <w:rsid w:val="005514A0"/>
    <w:rsid w:val="00552DDD"/>
    <w:rsid w:val="00561D03"/>
    <w:rsid w:val="005660AE"/>
    <w:rsid w:val="0057172A"/>
    <w:rsid w:val="005809D5"/>
    <w:rsid w:val="0058266B"/>
    <w:rsid w:val="00587C64"/>
    <w:rsid w:val="005A65B1"/>
    <w:rsid w:val="005B1ADB"/>
    <w:rsid w:val="005C5870"/>
    <w:rsid w:val="005D0F88"/>
    <w:rsid w:val="005D2F46"/>
    <w:rsid w:val="005D3A35"/>
    <w:rsid w:val="005E37CE"/>
    <w:rsid w:val="005E55FA"/>
    <w:rsid w:val="005F4961"/>
    <w:rsid w:val="005F7B3C"/>
    <w:rsid w:val="00605EC9"/>
    <w:rsid w:val="006072DD"/>
    <w:rsid w:val="00630687"/>
    <w:rsid w:val="00635ACA"/>
    <w:rsid w:val="00637049"/>
    <w:rsid w:val="00643A10"/>
    <w:rsid w:val="00660DCB"/>
    <w:rsid w:val="006656F7"/>
    <w:rsid w:val="0066571B"/>
    <w:rsid w:val="00665E01"/>
    <w:rsid w:val="00680DCB"/>
    <w:rsid w:val="00681D88"/>
    <w:rsid w:val="006B4C8D"/>
    <w:rsid w:val="006B688F"/>
    <w:rsid w:val="006C419D"/>
    <w:rsid w:val="006D2648"/>
    <w:rsid w:val="006D7F7F"/>
    <w:rsid w:val="006E1A7D"/>
    <w:rsid w:val="006E1D66"/>
    <w:rsid w:val="006E4A95"/>
    <w:rsid w:val="00725039"/>
    <w:rsid w:val="00734B09"/>
    <w:rsid w:val="00737944"/>
    <w:rsid w:val="00740DDD"/>
    <w:rsid w:val="00747868"/>
    <w:rsid w:val="0075172C"/>
    <w:rsid w:val="00753F62"/>
    <w:rsid w:val="007A716F"/>
    <w:rsid w:val="007B6AFA"/>
    <w:rsid w:val="007C520D"/>
    <w:rsid w:val="007D0682"/>
    <w:rsid w:val="007D25EE"/>
    <w:rsid w:val="007F75CE"/>
    <w:rsid w:val="0081508C"/>
    <w:rsid w:val="00822148"/>
    <w:rsid w:val="00887F2E"/>
    <w:rsid w:val="00887FD2"/>
    <w:rsid w:val="008D00D0"/>
    <w:rsid w:val="008D26C7"/>
    <w:rsid w:val="008E35FC"/>
    <w:rsid w:val="008E4147"/>
    <w:rsid w:val="008F416C"/>
    <w:rsid w:val="009163C1"/>
    <w:rsid w:val="00916F26"/>
    <w:rsid w:val="0092408C"/>
    <w:rsid w:val="009272C3"/>
    <w:rsid w:val="009367C6"/>
    <w:rsid w:val="009831DD"/>
    <w:rsid w:val="0099198E"/>
    <w:rsid w:val="00995A23"/>
    <w:rsid w:val="009978E9"/>
    <w:rsid w:val="00997F2A"/>
    <w:rsid w:val="009A36C0"/>
    <w:rsid w:val="009A52A0"/>
    <w:rsid w:val="009A7B57"/>
    <w:rsid w:val="009B26B9"/>
    <w:rsid w:val="009B467B"/>
    <w:rsid w:val="009C6735"/>
    <w:rsid w:val="009D1755"/>
    <w:rsid w:val="009D5EEC"/>
    <w:rsid w:val="009D63BA"/>
    <w:rsid w:val="009D7A06"/>
    <w:rsid w:val="009E5557"/>
    <w:rsid w:val="009E6F46"/>
    <w:rsid w:val="009F285C"/>
    <w:rsid w:val="00A000F6"/>
    <w:rsid w:val="00A01E57"/>
    <w:rsid w:val="00A21B61"/>
    <w:rsid w:val="00A23E8A"/>
    <w:rsid w:val="00A2585A"/>
    <w:rsid w:val="00A40E5E"/>
    <w:rsid w:val="00A4650E"/>
    <w:rsid w:val="00A478C1"/>
    <w:rsid w:val="00A6202E"/>
    <w:rsid w:val="00A62D36"/>
    <w:rsid w:val="00A66613"/>
    <w:rsid w:val="00A713B7"/>
    <w:rsid w:val="00A74F79"/>
    <w:rsid w:val="00A90C3C"/>
    <w:rsid w:val="00A94E06"/>
    <w:rsid w:val="00AA25A0"/>
    <w:rsid w:val="00AA7FEE"/>
    <w:rsid w:val="00AC2B4A"/>
    <w:rsid w:val="00AC3762"/>
    <w:rsid w:val="00AC69BF"/>
    <w:rsid w:val="00AD33A6"/>
    <w:rsid w:val="00AD6BD1"/>
    <w:rsid w:val="00B0062B"/>
    <w:rsid w:val="00B01933"/>
    <w:rsid w:val="00B10D11"/>
    <w:rsid w:val="00B12DD0"/>
    <w:rsid w:val="00B145FC"/>
    <w:rsid w:val="00B24060"/>
    <w:rsid w:val="00B251A3"/>
    <w:rsid w:val="00B2779E"/>
    <w:rsid w:val="00B315A0"/>
    <w:rsid w:val="00B33F79"/>
    <w:rsid w:val="00B37A88"/>
    <w:rsid w:val="00B453D0"/>
    <w:rsid w:val="00B52648"/>
    <w:rsid w:val="00B67DCD"/>
    <w:rsid w:val="00B76FC2"/>
    <w:rsid w:val="00B7734C"/>
    <w:rsid w:val="00B85015"/>
    <w:rsid w:val="00B85ECC"/>
    <w:rsid w:val="00BA1559"/>
    <w:rsid w:val="00BA5575"/>
    <w:rsid w:val="00BC6889"/>
    <w:rsid w:val="00BC7C30"/>
    <w:rsid w:val="00BD45B6"/>
    <w:rsid w:val="00C22341"/>
    <w:rsid w:val="00C366C9"/>
    <w:rsid w:val="00C371BF"/>
    <w:rsid w:val="00C47A9D"/>
    <w:rsid w:val="00C8202A"/>
    <w:rsid w:val="00C9135F"/>
    <w:rsid w:val="00C95E4E"/>
    <w:rsid w:val="00CA71E4"/>
    <w:rsid w:val="00CB5D6F"/>
    <w:rsid w:val="00CC2ECB"/>
    <w:rsid w:val="00CC3D94"/>
    <w:rsid w:val="00CC6419"/>
    <w:rsid w:val="00CD7439"/>
    <w:rsid w:val="00CE345E"/>
    <w:rsid w:val="00D01979"/>
    <w:rsid w:val="00D07388"/>
    <w:rsid w:val="00D2297E"/>
    <w:rsid w:val="00D2464D"/>
    <w:rsid w:val="00D24C37"/>
    <w:rsid w:val="00D519D8"/>
    <w:rsid w:val="00D52115"/>
    <w:rsid w:val="00D576AB"/>
    <w:rsid w:val="00D64D8F"/>
    <w:rsid w:val="00D65850"/>
    <w:rsid w:val="00D77D59"/>
    <w:rsid w:val="00D85757"/>
    <w:rsid w:val="00D91AAE"/>
    <w:rsid w:val="00D92E13"/>
    <w:rsid w:val="00D93204"/>
    <w:rsid w:val="00DC7AD5"/>
    <w:rsid w:val="00DD77A3"/>
    <w:rsid w:val="00DE03E7"/>
    <w:rsid w:val="00DE1212"/>
    <w:rsid w:val="00DE6BE0"/>
    <w:rsid w:val="00DE6CEF"/>
    <w:rsid w:val="00DF3B69"/>
    <w:rsid w:val="00DF411A"/>
    <w:rsid w:val="00E04F65"/>
    <w:rsid w:val="00E10A43"/>
    <w:rsid w:val="00E1383B"/>
    <w:rsid w:val="00E152C4"/>
    <w:rsid w:val="00E27713"/>
    <w:rsid w:val="00E334B8"/>
    <w:rsid w:val="00E8043E"/>
    <w:rsid w:val="00E8460E"/>
    <w:rsid w:val="00E934D0"/>
    <w:rsid w:val="00EC779C"/>
    <w:rsid w:val="00EE4980"/>
    <w:rsid w:val="00EF3CBA"/>
    <w:rsid w:val="00F021CD"/>
    <w:rsid w:val="00F254B0"/>
    <w:rsid w:val="00F2621B"/>
    <w:rsid w:val="00F27227"/>
    <w:rsid w:val="00F358B9"/>
    <w:rsid w:val="00F42A40"/>
    <w:rsid w:val="00F723AD"/>
    <w:rsid w:val="00F74E86"/>
    <w:rsid w:val="00F82FB9"/>
    <w:rsid w:val="00F877BA"/>
    <w:rsid w:val="00F93E89"/>
    <w:rsid w:val="00F97776"/>
    <w:rsid w:val="00FA2D7B"/>
    <w:rsid w:val="00FB494E"/>
    <w:rsid w:val="00FB696C"/>
    <w:rsid w:val="00FD4304"/>
    <w:rsid w:val="00FE4689"/>
    <w:rsid w:val="00FF3198"/>
    <w:rsid w:val="00FF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81F"/>
    <w:pPr>
      <w:spacing w:line="280" w:lineRule="atLeast"/>
    </w:pPr>
    <w:rPr>
      <w:rFonts w:ascii="Garamond" w:hAnsi="Garamond"/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qFormat/>
    <w:rsid w:val="009C6735"/>
    <w:pPr>
      <w:keepNext/>
      <w:spacing w:before="280" w:after="280"/>
      <w:outlineLvl w:val="0"/>
    </w:pPr>
    <w:rPr>
      <w:rFonts w:ascii="Arial" w:hAnsi="Arial" w:cs="Arial"/>
      <w:bCs/>
      <w:kern w:val="28"/>
      <w:sz w:val="26"/>
      <w:szCs w:val="32"/>
    </w:rPr>
  </w:style>
  <w:style w:type="paragraph" w:styleId="Overskrift2">
    <w:name w:val="heading 2"/>
    <w:basedOn w:val="Normal"/>
    <w:next w:val="Normal"/>
    <w:qFormat/>
    <w:rsid w:val="009C6735"/>
    <w:pPr>
      <w:keepNext/>
      <w:spacing w:before="280"/>
      <w:outlineLvl w:val="1"/>
    </w:pPr>
    <w:rPr>
      <w:rFonts w:ascii="Arial" w:hAnsi="Arial" w:cs="Arial"/>
      <w:b/>
      <w:bCs/>
      <w:iCs/>
      <w:kern w:val="28"/>
      <w:sz w:val="20"/>
      <w:szCs w:val="28"/>
    </w:rPr>
  </w:style>
  <w:style w:type="paragraph" w:styleId="Overskrift3">
    <w:name w:val="heading 3"/>
    <w:basedOn w:val="Normal"/>
    <w:next w:val="Normal"/>
    <w:qFormat/>
    <w:rsid w:val="009C6735"/>
    <w:pPr>
      <w:keepNext/>
      <w:spacing w:before="280"/>
      <w:outlineLvl w:val="2"/>
    </w:pPr>
    <w:rPr>
      <w:rFonts w:cs="Arial"/>
      <w:bCs/>
      <w:i/>
      <w:kern w:val="28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32081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2081F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1B2B7B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036755"/>
  </w:style>
  <w:style w:type="paragraph" w:customStyle="1" w:styleId="DokTitel">
    <w:name w:val="DokTitel"/>
    <w:basedOn w:val="Normal"/>
    <w:next w:val="Normal"/>
    <w:rsid w:val="003C7A67"/>
    <w:pPr>
      <w:spacing w:line="400" w:lineRule="exact"/>
    </w:pPr>
    <w:rPr>
      <w:rFonts w:ascii="Arial" w:hAnsi="Arial" w:cs="Arial"/>
      <w:sz w:val="40"/>
      <w:szCs w:val="40"/>
    </w:rPr>
  </w:style>
  <w:style w:type="table" w:customStyle="1" w:styleId="OESNotat">
    <w:name w:val="OESNotat"/>
    <w:basedOn w:val="Tabel-Normal"/>
    <w:rsid w:val="00E1383B"/>
    <w:rPr>
      <w:rFonts w:ascii="Garamond" w:hAnsi="Garamond"/>
      <w:sz w:val="24"/>
    </w:rPr>
    <w:tblPr>
      <w:jc w:val="center"/>
      <w:tblCellMar>
        <w:left w:w="0" w:type="dxa"/>
        <w:right w:w="170" w:type="dxa"/>
      </w:tblCellMar>
    </w:tblPr>
    <w:trPr>
      <w:jc w:val="center"/>
    </w:trPr>
    <w:tcPr>
      <w:vAlign w:val="bottom"/>
    </w:tcPr>
    <w:tblStylePr w:type="fir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pPr>
        <w:jc w:val="left"/>
      </w:pPr>
      <w:rPr>
        <w:rFonts w:ascii="Cambria" w:hAnsi="Cambria"/>
        <w:sz w:val="24"/>
      </w:rPr>
    </w:tblStylePr>
  </w:style>
  <w:style w:type="paragraph" w:customStyle="1" w:styleId="TabelAnmaerkning">
    <w:name w:val="TabelAnmaerkning"/>
    <w:basedOn w:val="Normal"/>
    <w:rsid w:val="00605EC9"/>
    <w:pPr>
      <w:ind w:left="567" w:hanging="567"/>
    </w:pPr>
    <w:rPr>
      <w:sz w:val="20"/>
      <w:szCs w:val="20"/>
      <w:lang w:val="da-DK" w:eastAsia="da-DK"/>
    </w:rPr>
  </w:style>
  <w:style w:type="paragraph" w:customStyle="1" w:styleId="Tabeloverskrift">
    <w:name w:val="Tabeloverskrift"/>
    <w:basedOn w:val="Normal"/>
    <w:rsid w:val="007A716F"/>
    <w:rPr>
      <w:rFonts w:ascii="Arial" w:hAnsi="Arial"/>
      <w:b/>
      <w:sz w:val="18"/>
      <w:lang w:val="en-GB" w:eastAsia="da-DK"/>
    </w:rPr>
  </w:style>
  <w:style w:type="paragraph" w:customStyle="1" w:styleId="Tabeloverskrift2">
    <w:name w:val="Tabeloverskrift2"/>
    <w:basedOn w:val="Normal"/>
    <w:rsid w:val="007A716F"/>
    <w:pPr>
      <w:spacing w:line="240" w:lineRule="auto"/>
    </w:pPr>
    <w:rPr>
      <w:b/>
      <w:noProof/>
      <w:sz w:val="20"/>
      <w:lang w:val="da-DK" w:eastAsia="da-DK"/>
    </w:rPr>
  </w:style>
  <w:style w:type="paragraph" w:customStyle="1" w:styleId="TabelTal">
    <w:name w:val="TabelTal"/>
    <w:basedOn w:val="Normal"/>
    <w:rsid w:val="007A716F"/>
    <w:rPr>
      <w:sz w:val="20"/>
      <w:lang w:val="en-GB" w:eastAsia="da-DK"/>
    </w:rPr>
  </w:style>
  <w:style w:type="paragraph" w:customStyle="1" w:styleId="Tabeltekst">
    <w:name w:val="Tabeltekst"/>
    <w:basedOn w:val="Tabeloverskrift"/>
    <w:rsid w:val="007A716F"/>
    <w:rPr>
      <w:rFonts w:ascii="Garamond" w:hAnsi="Garamond"/>
      <w:b w:val="0"/>
      <w:sz w:val="20"/>
    </w:rPr>
  </w:style>
  <w:style w:type="paragraph" w:customStyle="1" w:styleId="TabelTalOverskrift">
    <w:name w:val="TabelTalOverskrift"/>
    <w:basedOn w:val="TabelTal"/>
    <w:rsid w:val="007A716F"/>
    <w:rPr>
      <w:b/>
      <w:noProof/>
      <w:lang w:val="da-DK"/>
    </w:rPr>
  </w:style>
  <w:style w:type="character" w:styleId="Kommentarhenvisning">
    <w:name w:val="annotation reference"/>
    <w:rsid w:val="00C2234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C22341"/>
    <w:rPr>
      <w:sz w:val="20"/>
      <w:szCs w:val="20"/>
    </w:rPr>
  </w:style>
  <w:style w:type="character" w:customStyle="1" w:styleId="KommentartekstTegn">
    <w:name w:val="Kommentartekst Tegn"/>
    <w:link w:val="Kommentartekst"/>
    <w:rsid w:val="00C22341"/>
    <w:rPr>
      <w:rFonts w:ascii="Garamond" w:hAnsi="Garamond"/>
      <w:lang w:val="en-US"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C22341"/>
    <w:rPr>
      <w:b/>
      <w:bCs/>
    </w:rPr>
  </w:style>
  <w:style w:type="character" w:customStyle="1" w:styleId="KommentaremneTegn">
    <w:name w:val="Kommentaremne Tegn"/>
    <w:link w:val="Kommentaremne"/>
    <w:rsid w:val="00C22341"/>
    <w:rPr>
      <w:rFonts w:ascii="Garamond" w:hAnsi="Garamond"/>
      <w:b/>
      <w:bCs/>
      <w:lang w:val="en-US" w:eastAsia="en-US"/>
    </w:rPr>
  </w:style>
  <w:style w:type="paragraph" w:styleId="Markeringsbobletekst">
    <w:name w:val="Balloon Text"/>
    <w:basedOn w:val="Normal"/>
    <w:link w:val="MarkeringsbobletekstTegn"/>
    <w:rsid w:val="00C22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C22341"/>
    <w:rPr>
      <w:rFonts w:ascii="Tahoma" w:hAnsi="Tahoma" w:cs="Tahoma"/>
      <w:sz w:val="16"/>
      <w:szCs w:val="16"/>
      <w:lang w:val="en-US" w:eastAsia="en-US"/>
    </w:rPr>
  </w:style>
  <w:style w:type="paragraph" w:styleId="Opstilling-punkttegn">
    <w:name w:val="List Bullet"/>
    <w:basedOn w:val="Normal"/>
    <w:rsid w:val="006E1D66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81F"/>
    <w:pPr>
      <w:spacing w:line="280" w:lineRule="atLeast"/>
    </w:pPr>
    <w:rPr>
      <w:rFonts w:ascii="Garamond" w:hAnsi="Garamond"/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qFormat/>
    <w:rsid w:val="009C6735"/>
    <w:pPr>
      <w:keepNext/>
      <w:spacing w:before="280" w:after="280"/>
      <w:outlineLvl w:val="0"/>
    </w:pPr>
    <w:rPr>
      <w:rFonts w:ascii="Arial" w:hAnsi="Arial" w:cs="Arial"/>
      <w:bCs/>
      <w:kern w:val="28"/>
      <w:sz w:val="26"/>
      <w:szCs w:val="32"/>
    </w:rPr>
  </w:style>
  <w:style w:type="paragraph" w:styleId="Overskrift2">
    <w:name w:val="heading 2"/>
    <w:basedOn w:val="Normal"/>
    <w:next w:val="Normal"/>
    <w:qFormat/>
    <w:rsid w:val="009C6735"/>
    <w:pPr>
      <w:keepNext/>
      <w:spacing w:before="280"/>
      <w:outlineLvl w:val="1"/>
    </w:pPr>
    <w:rPr>
      <w:rFonts w:ascii="Arial" w:hAnsi="Arial" w:cs="Arial"/>
      <w:b/>
      <w:bCs/>
      <w:iCs/>
      <w:kern w:val="28"/>
      <w:sz w:val="20"/>
      <w:szCs w:val="28"/>
    </w:rPr>
  </w:style>
  <w:style w:type="paragraph" w:styleId="Overskrift3">
    <w:name w:val="heading 3"/>
    <w:basedOn w:val="Normal"/>
    <w:next w:val="Normal"/>
    <w:qFormat/>
    <w:rsid w:val="009C6735"/>
    <w:pPr>
      <w:keepNext/>
      <w:spacing w:before="280"/>
      <w:outlineLvl w:val="2"/>
    </w:pPr>
    <w:rPr>
      <w:rFonts w:cs="Arial"/>
      <w:bCs/>
      <w:i/>
      <w:kern w:val="28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32081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2081F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1B2B7B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036755"/>
  </w:style>
  <w:style w:type="paragraph" w:customStyle="1" w:styleId="DokTitel">
    <w:name w:val="DokTitel"/>
    <w:basedOn w:val="Normal"/>
    <w:next w:val="Normal"/>
    <w:rsid w:val="003C7A67"/>
    <w:pPr>
      <w:spacing w:line="400" w:lineRule="exact"/>
    </w:pPr>
    <w:rPr>
      <w:rFonts w:ascii="Arial" w:hAnsi="Arial" w:cs="Arial"/>
      <w:sz w:val="40"/>
      <w:szCs w:val="40"/>
    </w:rPr>
  </w:style>
  <w:style w:type="table" w:customStyle="1" w:styleId="OESNotat">
    <w:name w:val="OESNotat"/>
    <w:basedOn w:val="Tabel-Normal"/>
    <w:rsid w:val="00E1383B"/>
    <w:rPr>
      <w:rFonts w:ascii="Garamond" w:hAnsi="Garamond"/>
      <w:sz w:val="24"/>
    </w:rPr>
    <w:tblPr>
      <w:jc w:val="center"/>
      <w:tblCellMar>
        <w:left w:w="0" w:type="dxa"/>
        <w:right w:w="170" w:type="dxa"/>
      </w:tblCellMar>
    </w:tblPr>
    <w:trPr>
      <w:jc w:val="center"/>
    </w:trPr>
    <w:tcPr>
      <w:vAlign w:val="bottom"/>
    </w:tcPr>
    <w:tblStylePr w:type="fir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pPr>
        <w:jc w:val="left"/>
      </w:pPr>
      <w:rPr>
        <w:rFonts w:ascii="Cambria" w:hAnsi="Cambria"/>
        <w:sz w:val="24"/>
      </w:rPr>
    </w:tblStylePr>
  </w:style>
  <w:style w:type="paragraph" w:customStyle="1" w:styleId="TabelAnmaerkning">
    <w:name w:val="TabelAnmaerkning"/>
    <w:basedOn w:val="Normal"/>
    <w:rsid w:val="00605EC9"/>
    <w:pPr>
      <w:ind w:left="567" w:hanging="567"/>
    </w:pPr>
    <w:rPr>
      <w:sz w:val="20"/>
      <w:szCs w:val="20"/>
      <w:lang w:val="da-DK" w:eastAsia="da-DK"/>
    </w:rPr>
  </w:style>
  <w:style w:type="paragraph" w:customStyle="1" w:styleId="Tabeloverskrift">
    <w:name w:val="Tabeloverskrift"/>
    <w:basedOn w:val="Normal"/>
    <w:rsid w:val="007A716F"/>
    <w:rPr>
      <w:rFonts w:ascii="Arial" w:hAnsi="Arial"/>
      <w:b/>
      <w:sz w:val="18"/>
      <w:lang w:val="en-GB" w:eastAsia="da-DK"/>
    </w:rPr>
  </w:style>
  <w:style w:type="paragraph" w:customStyle="1" w:styleId="Tabeloverskrift2">
    <w:name w:val="Tabeloverskrift2"/>
    <w:basedOn w:val="Normal"/>
    <w:rsid w:val="007A716F"/>
    <w:pPr>
      <w:spacing w:line="240" w:lineRule="auto"/>
    </w:pPr>
    <w:rPr>
      <w:b/>
      <w:noProof/>
      <w:sz w:val="20"/>
      <w:lang w:val="da-DK" w:eastAsia="da-DK"/>
    </w:rPr>
  </w:style>
  <w:style w:type="paragraph" w:customStyle="1" w:styleId="TabelTal">
    <w:name w:val="TabelTal"/>
    <w:basedOn w:val="Normal"/>
    <w:rsid w:val="007A716F"/>
    <w:rPr>
      <w:sz w:val="20"/>
      <w:lang w:val="en-GB" w:eastAsia="da-DK"/>
    </w:rPr>
  </w:style>
  <w:style w:type="paragraph" w:customStyle="1" w:styleId="Tabeltekst">
    <w:name w:val="Tabeltekst"/>
    <w:basedOn w:val="Tabeloverskrift"/>
    <w:rsid w:val="007A716F"/>
    <w:rPr>
      <w:rFonts w:ascii="Garamond" w:hAnsi="Garamond"/>
      <w:b w:val="0"/>
      <w:sz w:val="20"/>
    </w:rPr>
  </w:style>
  <w:style w:type="paragraph" w:customStyle="1" w:styleId="TabelTalOverskrift">
    <w:name w:val="TabelTalOverskrift"/>
    <w:basedOn w:val="TabelTal"/>
    <w:rsid w:val="007A716F"/>
    <w:rPr>
      <w:b/>
      <w:noProof/>
      <w:lang w:val="da-DK"/>
    </w:rPr>
  </w:style>
  <w:style w:type="character" w:styleId="Kommentarhenvisning">
    <w:name w:val="annotation reference"/>
    <w:rsid w:val="00C2234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C22341"/>
    <w:rPr>
      <w:sz w:val="20"/>
      <w:szCs w:val="20"/>
    </w:rPr>
  </w:style>
  <w:style w:type="character" w:customStyle="1" w:styleId="KommentartekstTegn">
    <w:name w:val="Kommentartekst Tegn"/>
    <w:link w:val="Kommentartekst"/>
    <w:rsid w:val="00C22341"/>
    <w:rPr>
      <w:rFonts w:ascii="Garamond" w:hAnsi="Garamond"/>
      <w:lang w:val="en-US"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C22341"/>
    <w:rPr>
      <w:b/>
      <w:bCs/>
    </w:rPr>
  </w:style>
  <w:style w:type="character" w:customStyle="1" w:styleId="KommentaremneTegn">
    <w:name w:val="Kommentaremne Tegn"/>
    <w:link w:val="Kommentaremne"/>
    <w:rsid w:val="00C22341"/>
    <w:rPr>
      <w:rFonts w:ascii="Garamond" w:hAnsi="Garamond"/>
      <w:b/>
      <w:bCs/>
      <w:lang w:val="en-US" w:eastAsia="en-US"/>
    </w:rPr>
  </w:style>
  <w:style w:type="paragraph" w:styleId="Markeringsbobletekst">
    <w:name w:val="Balloon Text"/>
    <w:basedOn w:val="Normal"/>
    <w:link w:val="MarkeringsbobletekstTegn"/>
    <w:rsid w:val="00C22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C22341"/>
    <w:rPr>
      <w:rFonts w:ascii="Tahoma" w:hAnsi="Tahoma" w:cs="Tahoma"/>
      <w:sz w:val="16"/>
      <w:szCs w:val="16"/>
      <w:lang w:val="en-US" w:eastAsia="en-US"/>
    </w:rPr>
  </w:style>
  <w:style w:type="paragraph" w:styleId="Opstilling-punkttegn">
    <w:name w:val="List Bullet"/>
    <w:basedOn w:val="Normal"/>
    <w:rsid w:val="006E1D66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Økonomistyrelsen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 Høgdall Mølgaard</dc:creator>
  <cp:lastModifiedBy>Tina Windeløv Myrhøj</cp:lastModifiedBy>
  <cp:revision>4</cp:revision>
  <dcterms:created xsi:type="dcterms:W3CDTF">2015-02-13T10:22:00Z</dcterms:created>
  <dcterms:modified xsi:type="dcterms:W3CDTF">2015-02-17T09:42:00Z</dcterms:modified>
</cp:coreProperties>
</file>