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7" w:type="dxa"/>
        <w:tblBorders>
          <w:insideH w:val="single" w:sz="4" w:space="0" w:color="auto"/>
        </w:tblBorders>
        <w:tblLayout w:type="fixed"/>
        <w:tblCellMar>
          <w:left w:w="0" w:type="dxa"/>
          <w:right w:w="0" w:type="dxa"/>
        </w:tblCellMar>
        <w:tblLook w:val="01E0" w:firstRow="1" w:lastRow="1" w:firstColumn="1" w:lastColumn="1" w:noHBand="0" w:noVBand="0"/>
      </w:tblPr>
      <w:tblGrid>
        <w:gridCol w:w="7655"/>
        <w:gridCol w:w="397"/>
        <w:gridCol w:w="1985"/>
      </w:tblGrid>
      <w:tr w:rsidR="00BE3FAA" w:rsidRPr="00F47BEF" w14:paraId="1FAD193B" w14:textId="77777777" w:rsidTr="0004012F">
        <w:trPr>
          <w:trHeight w:hRule="exact" w:val="799"/>
        </w:trPr>
        <w:tc>
          <w:tcPr>
            <w:tcW w:w="7655" w:type="dxa"/>
          </w:tcPr>
          <w:p w14:paraId="7836FB58" w14:textId="7F4E1603" w:rsidR="00BE3FAA" w:rsidRPr="00F47BEF" w:rsidRDefault="00BE3FAA" w:rsidP="0004012F">
            <w:pPr>
              <w:pStyle w:val="Template-Dokumentnavn"/>
            </w:pPr>
            <w:bookmarkStart w:id="0" w:name="_GoBack"/>
            <w:bookmarkEnd w:id="0"/>
            <w:r>
              <w:t>Bilag a</w:t>
            </w:r>
          </w:p>
        </w:tc>
        <w:tc>
          <w:tcPr>
            <w:tcW w:w="397" w:type="dxa"/>
            <w:tcBorders>
              <w:top w:val="nil"/>
              <w:bottom w:val="nil"/>
            </w:tcBorders>
          </w:tcPr>
          <w:p w14:paraId="70554924" w14:textId="77777777" w:rsidR="00BE3FAA" w:rsidRPr="00F47BEF" w:rsidRDefault="00BE3FAA" w:rsidP="0004012F">
            <w:pPr>
              <w:pStyle w:val="Template-Dokumentnavn"/>
            </w:pPr>
          </w:p>
        </w:tc>
        <w:tc>
          <w:tcPr>
            <w:tcW w:w="1985" w:type="dxa"/>
            <w:vMerge w:val="restart"/>
          </w:tcPr>
          <w:p w14:paraId="12E3D2C2" w14:textId="2AF662C1" w:rsidR="00BE3FAA" w:rsidRPr="00F47BEF" w:rsidRDefault="00B31897" w:rsidP="0004012F">
            <w:pPr>
              <w:pStyle w:val="Template-Dato"/>
            </w:pPr>
            <w:bookmarkStart w:id="1" w:name="SD_FLD_DocumentDate"/>
            <w:bookmarkStart w:id="2" w:name="SD_HideDocinfo"/>
            <w:r>
              <w:t>14</w:t>
            </w:r>
            <w:r w:rsidR="00BE3FAA">
              <w:t>. august 2019</w:t>
            </w:r>
            <w:bookmarkEnd w:id="1"/>
          </w:p>
          <w:p w14:paraId="601BA59B" w14:textId="7075E5A1" w:rsidR="00BE3FAA" w:rsidRPr="00F47BEF" w:rsidRDefault="00BE3FAA" w:rsidP="0004012F">
            <w:pPr>
              <w:pStyle w:val="Template-Dato"/>
            </w:pPr>
            <w:r w:rsidRPr="00F47BEF">
              <w:t xml:space="preserve"> </w:t>
            </w:r>
            <w:bookmarkEnd w:id="2"/>
          </w:p>
        </w:tc>
      </w:tr>
      <w:tr w:rsidR="00BE3FAA" w:rsidRPr="00F47BEF" w14:paraId="51C9439D" w14:textId="77777777" w:rsidTr="0004012F">
        <w:trPr>
          <w:trHeight w:val="368"/>
        </w:trPr>
        <w:tc>
          <w:tcPr>
            <w:tcW w:w="7655" w:type="dxa"/>
          </w:tcPr>
          <w:p w14:paraId="4EADB1D1" w14:textId="77777777" w:rsidR="00BE3FAA" w:rsidRPr="00F47BEF" w:rsidRDefault="00BE3FAA" w:rsidP="0004012F"/>
        </w:tc>
        <w:tc>
          <w:tcPr>
            <w:tcW w:w="397" w:type="dxa"/>
            <w:tcBorders>
              <w:top w:val="nil"/>
              <w:bottom w:val="nil"/>
            </w:tcBorders>
          </w:tcPr>
          <w:p w14:paraId="788B8068" w14:textId="77777777" w:rsidR="00BE3FAA" w:rsidRPr="00F47BEF" w:rsidRDefault="00BE3FAA" w:rsidP="0004012F"/>
        </w:tc>
        <w:tc>
          <w:tcPr>
            <w:tcW w:w="1985" w:type="dxa"/>
            <w:vMerge/>
          </w:tcPr>
          <w:p w14:paraId="1AC9FBB0" w14:textId="77777777" w:rsidR="00BE3FAA" w:rsidRPr="00F47BEF" w:rsidRDefault="00BE3FAA" w:rsidP="0004012F"/>
        </w:tc>
      </w:tr>
    </w:tbl>
    <w:p w14:paraId="3D6E4BA7" w14:textId="77777777" w:rsidR="00171022" w:rsidRDefault="00171022" w:rsidP="008C7EAD">
      <w:pPr>
        <w:pStyle w:val="Overskrift1"/>
        <w:spacing w:before="0"/>
        <w:contextualSpacing/>
      </w:pPr>
      <w:r>
        <w:t>Afsl</w:t>
      </w:r>
      <w:r w:rsidR="003B5CAC">
        <w:t>uttende rapport for initiativ 1.1</w:t>
      </w:r>
      <w:r>
        <w:t xml:space="preserve">: </w:t>
      </w:r>
      <w:r w:rsidR="003B5CAC">
        <w:t>Sammenhængende digitale brugerrejser</w:t>
      </w:r>
    </w:p>
    <w:p w14:paraId="4B592367" w14:textId="77777777" w:rsidR="00171022" w:rsidRPr="00171022" w:rsidRDefault="00171022" w:rsidP="00171022">
      <w:pPr>
        <w:pStyle w:val="Overskrift2"/>
      </w:pPr>
      <w:r>
        <w:t>Stamdata</w:t>
      </w:r>
      <w:r>
        <w:br/>
      </w:r>
    </w:p>
    <w:tbl>
      <w:tblPr>
        <w:tblStyle w:val="Tabel-Gitter"/>
        <w:tblW w:w="7763" w:type="dxa"/>
        <w:tblLook w:val="04A0" w:firstRow="1" w:lastRow="0" w:firstColumn="1" w:lastColumn="0" w:noHBand="0" w:noVBand="1"/>
      </w:tblPr>
      <w:tblGrid>
        <w:gridCol w:w="3388"/>
        <w:gridCol w:w="4375"/>
      </w:tblGrid>
      <w:tr w:rsidR="00171022" w14:paraId="3D5CC642" w14:textId="77777777" w:rsidTr="00B31897">
        <w:trPr>
          <w:trHeight w:val="201"/>
        </w:trPr>
        <w:tc>
          <w:tcPr>
            <w:tcW w:w="7763" w:type="dxa"/>
            <w:gridSpan w:val="2"/>
            <w:vAlign w:val="center"/>
          </w:tcPr>
          <w:p w14:paraId="35B0092D" w14:textId="77777777" w:rsidR="00171022" w:rsidRPr="00BA5399" w:rsidRDefault="00171022" w:rsidP="00B87A52">
            <w:pPr>
              <w:rPr>
                <w:b/>
              </w:rPr>
            </w:pPr>
            <w:r w:rsidRPr="00BA5399">
              <w:rPr>
                <w:b/>
              </w:rPr>
              <w:t>Tabel 1: Stamdata for initiativ</w:t>
            </w:r>
            <w:r w:rsidR="00BA5399">
              <w:rPr>
                <w:b/>
              </w:rPr>
              <w:t xml:space="preserve"> </w:t>
            </w:r>
            <w:r w:rsidR="00B87A52">
              <w:rPr>
                <w:b/>
              </w:rPr>
              <w:t>1.1 Sammenhængende digitale brugerrejser</w:t>
            </w:r>
          </w:p>
        </w:tc>
      </w:tr>
      <w:tr w:rsidR="00171022" w14:paraId="33232F7E" w14:textId="77777777" w:rsidTr="00B31897">
        <w:trPr>
          <w:trHeight w:val="279"/>
        </w:trPr>
        <w:tc>
          <w:tcPr>
            <w:tcW w:w="3388" w:type="dxa"/>
          </w:tcPr>
          <w:p w14:paraId="2B2EB3AF" w14:textId="77777777" w:rsidR="00171022" w:rsidRDefault="00BA5399" w:rsidP="00BA5399">
            <w:r>
              <w:t>Ministerium</w:t>
            </w:r>
          </w:p>
        </w:tc>
        <w:tc>
          <w:tcPr>
            <w:tcW w:w="4375" w:type="dxa"/>
          </w:tcPr>
          <w:p w14:paraId="39B01505" w14:textId="77777777" w:rsidR="00171022" w:rsidRDefault="003B5CAC" w:rsidP="00BA5399">
            <w:r>
              <w:t>Finansministeriet</w:t>
            </w:r>
          </w:p>
        </w:tc>
      </w:tr>
      <w:tr w:rsidR="00171022" w14:paraId="28BDF2AC" w14:textId="77777777" w:rsidTr="00B31897">
        <w:trPr>
          <w:trHeight w:val="272"/>
        </w:trPr>
        <w:tc>
          <w:tcPr>
            <w:tcW w:w="3388" w:type="dxa"/>
          </w:tcPr>
          <w:p w14:paraId="67E1C3F8" w14:textId="77777777" w:rsidR="00171022" w:rsidRDefault="00BA5399" w:rsidP="00BA5399">
            <w:r>
              <w:t>Institution</w:t>
            </w:r>
          </w:p>
        </w:tc>
        <w:tc>
          <w:tcPr>
            <w:tcW w:w="4375" w:type="dxa"/>
          </w:tcPr>
          <w:p w14:paraId="5B280112" w14:textId="77777777" w:rsidR="00171022" w:rsidRDefault="003B5CAC" w:rsidP="00BA5399">
            <w:r>
              <w:t>Digitaliseringsstyrelsen</w:t>
            </w:r>
          </w:p>
        </w:tc>
      </w:tr>
      <w:tr w:rsidR="00171022" w14:paraId="00206BA4" w14:textId="77777777" w:rsidTr="00B31897">
        <w:trPr>
          <w:trHeight w:val="272"/>
        </w:trPr>
        <w:tc>
          <w:tcPr>
            <w:tcW w:w="3388" w:type="dxa"/>
          </w:tcPr>
          <w:p w14:paraId="1A136FE0" w14:textId="77777777" w:rsidR="00781CF5" w:rsidRDefault="00781CF5" w:rsidP="00BA5399">
            <w:r>
              <w:t>Styregruppe</w:t>
            </w:r>
          </w:p>
        </w:tc>
        <w:tc>
          <w:tcPr>
            <w:tcW w:w="4375" w:type="dxa"/>
          </w:tcPr>
          <w:p w14:paraId="76B7B179" w14:textId="77777777" w:rsidR="00171022" w:rsidRDefault="003B5CAC" w:rsidP="003707CC">
            <w:r>
              <w:t>Styregruppen for digital kommunikation</w:t>
            </w:r>
          </w:p>
        </w:tc>
      </w:tr>
      <w:tr w:rsidR="003707CC" w14:paraId="1D6FC442" w14:textId="77777777" w:rsidTr="00B31897">
        <w:trPr>
          <w:trHeight w:val="415"/>
        </w:trPr>
        <w:tc>
          <w:tcPr>
            <w:tcW w:w="3388" w:type="dxa"/>
          </w:tcPr>
          <w:p w14:paraId="76CE2FA4" w14:textId="77777777" w:rsidR="003707CC" w:rsidRDefault="003707CC" w:rsidP="00BA5399">
            <w:r>
              <w:t>Projektejer</w:t>
            </w:r>
          </w:p>
        </w:tc>
        <w:tc>
          <w:tcPr>
            <w:tcW w:w="4375" w:type="dxa"/>
          </w:tcPr>
          <w:p w14:paraId="5F06A834" w14:textId="20C909AC" w:rsidR="00EB1F1D" w:rsidRDefault="003B5CAC" w:rsidP="00FC226F">
            <w:r>
              <w:t>Nina Husfeldt Clasen</w:t>
            </w:r>
            <w:r w:rsidR="00AE3091">
              <w:t xml:space="preserve"> </w:t>
            </w:r>
            <w:r w:rsidR="00FC226F">
              <w:t>(Digitaliseringsstyrelsen)</w:t>
            </w:r>
            <w:r w:rsidR="00EB1F1D">
              <w:br/>
              <w:t>Pernille Grønnemose</w:t>
            </w:r>
            <w:r w:rsidR="00AE3091">
              <w:t xml:space="preserve"> </w:t>
            </w:r>
            <w:r w:rsidR="00FC226F">
              <w:t>(Erhvervsstyrelsen)</w:t>
            </w:r>
          </w:p>
        </w:tc>
      </w:tr>
      <w:tr w:rsidR="00171022" w14:paraId="560912EC" w14:textId="77777777" w:rsidTr="00B31897">
        <w:trPr>
          <w:trHeight w:val="580"/>
        </w:trPr>
        <w:tc>
          <w:tcPr>
            <w:tcW w:w="3388" w:type="dxa"/>
          </w:tcPr>
          <w:p w14:paraId="63C8EAFF" w14:textId="77777777" w:rsidR="00171022" w:rsidRDefault="00781CF5" w:rsidP="00BA5399">
            <w:r>
              <w:t>Projektleder</w:t>
            </w:r>
          </w:p>
        </w:tc>
        <w:tc>
          <w:tcPr>
            <w:tcW w:w="4375" w:type="dxa"/>
          </w:tcPr>
          <w:p w14:paraId="2DEC1C5E" w14:textId="7AC0004B" w:rsidR="00EB1F1D" w:rsidRDefault="003B5CAC" w:rsidP="00FC226F">
            <w:r>
              <w:t>Tina Windeløv Myrhøj Draminsky</w:t>
            </w:r>
            <w:r w:rsidR="00AE3091">
              <w:t xml:space="preserve"> </w:t>
            </w:r>
            <w:r w:rsidR="00FC226F">
              <w:t>(Digitaliseringsstyrelsen)</w:t>
            </w:r>
            <w:r w:rsidR="00EB1F1D">
              <w:br/>
              <w:t>Dorte Lan</w:t>
            </w:r>
            <w:r w:rsidR="0024456B">
              <w:t>g</w:t>
            </w:r>
            <w:r w:rsidR="00EB1F1D">
              <w:t>eland</w:t>
            </w:r>
            <w:r w:rsidR="00AE3091">
              <w:t xml:space="preserve"> </w:t>
            </w:r>
            <w:r w:rsidR="00B31897">
              <w:t xml:space="preserve">Christensen </w:t>
            </w:r>
            <w:r w:rsidR="00FC226F">
              <w:t>(Erhvervsstyrelsen)</w:t>
            </w:r>
          </w:p>
        </w:tc>
      </w:tr>
      <w:tr w:rsidR="00781CF5" w14:paraId="00AD8703" w14:textId="77777777" w:rsidTr="00B31897">
        <w:trPr>
          <w:trHeight w:val="35"/>
        </w:trPr>
        <w:tc>
          <w:tcPr>
            <w:tcW w:w="3388" w:type="dxa"/>
          </w:tcPr>
          <w:p w14:paraId="3527BA3B" w14:textId="77777777" w:rsidR="00781CF5" w:rsidRDefault="004C0106" w:rsidP="004C0106">
            <w:r>
              <w:t>S</w:t>
            </w:r>
            <w:r w:rsidR="00781CF5">
              <w:t>tarttidspunkt</w:t>
            </w:r>
          </w:p>
        </w:tc>
        <w:tc>
          <w:tcPr>
            <w:tcW w:w="4375" w:type="dxa"/>
          </w:tcPr>
          <w:p w14:paraId="502042BF" w14:textId="35C62C0E" w:rsidR="00781CF5" w:rsidRDefault="00CB3968" w:rsidP="00C12642">
            <w:r>
              <w:t>O</w:t>
            </w:r>
            <w:r w:rsidR="00C12642">
              <w:t>ktober 2016</w:t>
            </w:r>
          </w:p>
        </w:tc>
      </w:tr>
      <w:tr w:rsidR="00781CF5" w14:paraId="73168CC3" w14:textId="77777777" w:rsidTr="00B31897">
        <w:trPr>
          <w:trHeight w:val="415"/>
        </w:trPr>
        <w:tc>
          <w:tcPr>
            <w:tcW w:w="3388" w:type="dxa"/>
          </w:tcPr>
          <w:p w14:paraId="1C21279A" w14:textId="77777777" w:rsidR="00781CF5" w:rsidRDefault="003707CC" w:rsidP="003707CC">
            <w:r>
              <w:t>Oprindeligt forventet</w:t>
            </w:r>
            <w:r w:rsidR="003B2A15">
              <w:t xml:space="preserve"> s</w:t>
            </w:r>
            <w:r w:rsidR="00781CF5">
              <w:t>luttidspunkt</w:t>
            </w:r>
          </w:p>
        </w:tc>
        <w:tc>
          <w:tcPr>
            <w:tcW w:w="4375" w:type="dxa"/>
          </w:tcPr>
          <w:p w14:paraId="3EF90A8D" w14:textId="1078172B" w:rsidR="00781CF5" w:rsidRDefault="00EB1F1D" w:rsidP="00C360F6">
            <w:r>
              <w:t>D</w:t>
            </w:r>
            <w:r w:rsidR="00392770">
              <w:t>ecember</w:t>
            </w:r>
            <w:r w:rsidR="003B5CAC">
              <w:t xml:space="preserve"> 2020</w:t>
            </w:r>
          </w:p>
        </w:tc>
      </w:tr>
      <w:tr w:rsidR="004B60F6" w14:paraId="300F339C" w14:textId="77777777" w:rsidTr="00B31897">
        <w:trPr>
          <w:trHeight w:val="272"/>
        </w:trPr>
        <w:tc>
          <w:tcPr>
            <w:tcW w:w="3388" w:type="dxa"/>
          </w:tcPr>
          <w:p w14:paraId="43230C93" w14:textId="77777777" w:rsidR="004B60F6" w:rsidRDefault="003B2A15" w:rsidP="00BA5399">
            <w:r>
              <w:t>Egentligt sluttidspunkt</w:t>
            </w:r>
          </w:p>
        </w:tc>
        <w:tc>
          <w:tcPr>
            <w:tcW w:w="4375" w:type="dxa"/>
          </w:tcPr>
          <w:p w14:paraId="32A6476F" w14:textId="57CE83FA" w:rsidR="004B60F6" w:rsidRDefault="00EB1F1D" w:rsidP="00EB1F1D">
            <w:r>
              <w:t>S</w:t>
            </w:r>
            <w:r w:rsidR="00392770">
              <w:t>eptember 2019</w:t>
            </w:r>
          </w:p>
        </w:tc>
      </w:tr>
      <w:tr w:rsidR="00171022" w14:paraId="78E2AA7F" w14:textId="77777777" w:rsidTr="00B31897">
        <w:trPr>
          <w:trHeight w:val="272"/>
        </w:trPr>
        <w:tc>
          <w:tcPr>
            <w:tcW w:w="3388" w:type="dxa"/>
          </w:tcPr>
          <w:p w14:paraId="523BA9AF" w14:textId="77777777" w:rsidR="00171022" w:rsidRDefault="00C918FD" w:rsidP="00BA5399">
            <w:r>
              <w:t>Samlet budget (2016-2020)</w:t>
            </w:r>
          </w:p>
        </w:tc>
        <w:tc>
          <w:tcPr>
            <w:tcW w:w="4375" w:type="dxa"/>
          </w:tcPr>
          <w:p w14:paraId="55E97963" w14:textId="5A34DCBC" w:rsidR="00171022" w:rsidRDefault="00697AE6" w:rsidP="00007ACD">
            <w:r>
              <w:t xml:space="preserve">25 mio. kr. </w:t>
            </w:r>
          </w:p>
        </w:tc>
      </w:tr>
      <w:tr w:rsidR="00171022" w14:paraId="0F2E4D04" w14:textId="77777777" w:rsidTr="00B31897">
        <w:trPr>
          <w:trHeight w:val="302"/>
        </w:trPr>
        <w:tc>
          <w:tcPr>
            <w:tcW w:w="3388" w:type="dxa"/>
          </w:tcPr>
          <w:p w14:paraId="2AB3BAAE" w14:textId="77777777" w:rsidR="00171022" w:rsidRDefault="00C918FD" w:rsidP="00BA5399">
            <w:r>
              <w:t>Samlet mer- eller mindreforbrug</w:t>
            </w:r>
          </w:p>
        </w:tc>
        <w:tc>
          <w:tcPr>
            <w:tcW w:w="4375" w:type="dxa"/>
          </w:tcPr>
          <w:p w14:paraId="6C42BE8D" w14:textId="77FC8C03" w:rsidR="000D7456" w:rsidRDefault="006D1B83" w:rsidP="000D7456">
            <w:pPr>
              <w:pStyle w:val="Opstilling-punkttegn"/>
            </w:pPr>
            <w:r w:rsidRPr="000F09EC">
              <w:t>Samlet budget 2016-20</w:t>
            </w:r>
            <w:r w:rsidR="004C762D">
              <w:t>20</w:t>
            </w:r>
            <w:r w:rsidRPr="000F09EC">
              <w:t xml:space="preserve">: </w:t>
            </w:r>
            <w:r w:rsidR="000F09EC" w:rsidRPr="000F09EC">
              <w:t>25</w:t>
            </w:r>
            <w:r w:rsidRPr="000F09EC">
              <w:t xml:space="preserve">.000.000 kr. </w:t>
            </w:r>
          </w:p>
          <w:p w14:paraId="26B880B4" w14:textId="3609B003" w:rsidR="00171022" w:rsidRDefault="006D1B83" w:rsidP="000D7456">
            <w:pPr>
              <w:pStyle w:val="Opstilling-punkttegn"/>
            </w:pPr>
            <w:r w:rsidRPr="000F09EC">
              <w:t>Realiserede udgifter 2016-</w:t>
            </w:r>
            <w:r w:rsidR="000D7456">
              <w:t>2019</w:t>
            </w:r>
            <w:r w:rsidRPr="000F09EC">
              <w:t xml:space="preserve">: </w:t>
            </w:r>
            <w:r w:rsidR="000D7456">
              <w:t>8.2</w:t>
            </w:r>
            <w:r w:rsidRPr="000F09EC">
              <w:t>00.000 kr.</w:t>
            </w:r>
            <w:r w:rsidR="007F0778">
              <w:t xml:space="preserve"> + 2,0 mio. kr. overført til initiativ 1.3</w:t>
            </w:r>
          </w:p>
        </w:tc>
      </w:tr>
    </w:tbl>
    <w:p w14:paraId="34F594F5" w14:textId="549EB449" w:rsidR="00B31897" w:rsidRDefault="00B31897" w:rsidP="00171022">
      <w:pPr>
        <w:pStyle w:val="Overskrift2"/>
      </w:pPr>
    </w:p>
    <w:p w14:paraId="19F28C90" w14:textId="075129BB" w:rsidR="00B31897" w:rsidRDefault="00B31897" w:rsidP="00171022">
      <w:pPr>
        <w:pStyle w:val="Overskrift2"/>
      </w:pPr>
    </w:p>
    <w:p w14:paraId="4FBA921F" w14:textId="77777777" w:rsidR="00B31897" w:rsidRPr="00B31897" w:rsidRDefault="00B31897" w:rsidP="00B31897"/>
    <w:p w14:paraId="0F62EB0F" w14:textId="3D705826" w:rsidR="00C918FD" w:rsidRDefault="002915CF" w:rsidP="00171022">
      <w:pPr>
        <w:pStyle w:val="Overskrift2"/>
      </w:pPr>
      <w:r>
        <w:lastRenderedPageBreak/>
        <w:t>Formål og r</w:t>
      </w:r>
      <w:r w:rsidR="00C918FD">
        <w:t>esultater</w:t>
      </w:r>
    </w:p>
    <w:p w14:paraId="19C4D67C" w14:textId="5F20D808" w:rsidR="00283782" w:rsidRDefault="00283782" w:rsidP="00283782">
      <w:pPr>
        <w:rPr>
          <w:i/>
        </w:rPr>
      </w:pPr>
      <w:r>
        <w:t>Formålet med ini</w:t>
      </w:r>
      <w:r w:rsidR="001D560A">
        <w:t>tiativet var</w:t>
      </w:r>
      <w:r w:rsidR="002905B4">
        <w:t>,</w:t>
      </w:r>
      <w:r w:rsidR="00C546E3">
        <w:t xml:space="preserve"> at: ”Borgere og virksomheder skal opleve en mere brugervenlig og koordineret administrativ service fra de offentlige myndigheder i situationer, hvor ærindet går på tværs af digitale løsninger og myndigheder, fx når en borger flytter eller ved opstart af en virksomhed. Offentlige myndigheder skal i samarbejde guide brugerne ud fra deres samlede situation, så de lettere og hurtigere kan komme igen</w:t>
      </w:r>
      <w:r w:rsidR="002905B4">
        <w:t>nem de relevante</w:t>
      </w:r>
      <w:r w:rsidR="00C546E3">
        <w:t xml:space="preserve"> løsninger.</w:t>
      </w:r>
      <w:r w:rsidR="002905B4">
        <w:t xml:space="preserve"> En målrettet indsats i første omgang centreret om udvalgte brugerrejser skal skabe mere sammenhæng og mindre tidsforbrug for brugerne (</w:t>
      </w:r>
      <w:r w:rsidR="00FC226F">
        <w:t>a</w:t>
      </w:r>
      <w:r w:rsidR="002905B4">
        <w:t xml:space="preserve">ftalepapir for initiativ 1.1). </w:t>
      </w:r>
      <w:r w:rsidR="00BC251D">
        <w:t xml:space="preserve">Følgende </w:t>
      </w:r>
      <w:r w:rsidR="00D806CD">
        <w:t>seks</w:t>
      </w:r>
      <w:r w:rsidR="00BC251D">
        <w:t xml:space="preserve"> udvalgte brugerrejser er blevet analyseret</w:t>
      </w:r>
      <w:r w:rsidR="00C611F3">
        <w:t xml:space="preserve">: 1) </w:t>
      </w:r>
      <w:r w:rsidR="00C611F3">
        <w:rPr>
          <w:i/>
        </w:rPr>
        <w:t xml:space="preserve">Start </w:t>
      </w:r>
      <w:r w:rsidR="00D806CD">
        <w:rPr>
          <w:i/>
        </w:rPr>
        <w:t xml:space="preserve">virksomhed, </w:t>
      </w:r>
      <w:r w:rsidR="00D806CD" w:rsidRPr="007258C9">
        <w:t>2)</w:t>
      </w:r>
      <w:r w:rsidR="00D806CD">
        <w:rPr>
          <w:i/>
        </w:rPr>
        <w:t xml:space="preserve"> </w:t>
      </w:r>
      <w:r w:rsidR="00D81217">
        <w:rPr>
          <w:i/>
        </w:rPr>
        <w:t>L</w:t>
      </w:r>
      <w:r w:rsidR="00C611F3">
        <w:rPr>
          <w:i/>
        </w:rPr>
        <w:t>uk virksomhed</w:t>
      </w:r>
      <w:r w:rsidR="00C611F3">
        <w:t xml:space="preserve">, </w:t>
      </w:r>
      <w:r w:rsidR="00D806CD">
        <w:t>3</w:t>
      </w:r>
      <w:r w:rsidR="00C611F3">
        <w:t xml:space="preserve">) </w:t>
      </w:r>
      <w:r w:rsidR="00C611F3">
        <w:rPr>
          <w:i/>
        </w:rPr>
        <w:t>Service for udenlandske virksomheder</w:t>
      </w:r>
      <w:r w:rsidR="00730988">
        <w:rPr>
          <w:i/>
        </w:rPr>
        <w:t>,</w:t>
      </w:r>
      <w:r w:rsidR="00C611F3">
        <w:rPr>
          <w:i/>
        </w:rPr>
        <w:t xml:space="preserve"> </w:t>
      </w:r>
      <w:r w:rsidR="00D806CD">
        <w:t>4</w:t>
      </w:r>
      <w:r w:rsidR="00730988">
        <w:t xml:space="preserve">) </w:t>
      </w:r>
      <w:r w:rsidR="00EA7112">
        <w:rPr>
          <w:i/>
        </w:rPr>
        <w:t>Skilsmisse</w:t>
      </w:r>
      <w:r w:rsidR="00730988">
        <w:t xml:space="preserve"> </w:t>
      </w:r>
      <w:r w:rsidR="00D806CD">
        <w:t>5</w:t>
      </w:r>
      <w:r w:rsidR="00730988">
        <w:t xml:space="preserve">) </w:t>
      </w:r>
      <w:r w:rsidR="00730988">
        <w:rPr>
          <w:i/>
        </w:rPr>
        <w:t>Flyt</w:t>
      </w:r>
      <w:r w:rsidR="00D81217">
        <w:rPr>
          <w:i/>
        </w:rPr>
        <w:t>ning</w:t>
      </w:r>
      <w:r w:rsidR="00EA7112">
        <w:rPr>
          <w:i/>
        </w:rPr>
        <w:t xml:space="preserve"> </w:t>
      </w:r>
      <w:r w:rsidR="00EA7112">
        <w:t xml:space="preserve">og </w:t>
      </w:r>
      <w:r w:rsidR="00D806CD">
        <w:rPr>
          <w:i/>
        </w:rPr>
        <w:t>6</w:t>
      </w:r>
      <w:r w:rsidR="00FB440F">
        <w:rPr>
          <w:i/>
        </w:rPr>
        <w:t>) Bliv digital borger – lettere anvendelse og administration af fællesoffentlige komponenter (L</w:t>
      </w:r>
      <w:r w:rsidR="00EA7112">
        <w:rPr>
          <w:i/>
        </w:rPr>
        <w:t>AAK)</w:t>
      </w:r>
      <w:r w:rsidR="00730988">
        <w:rPr>
          <w:i/>
        </w:rPr>
        <w:t xml:space="preserve">. </w:t>
      </w:r>
    </w:p>
    <w:p w14:paraId="451890B8" w14:textId="3FC2A021" w:rsidR="00CE0F7D" w:rsidRPr="00B31897" w:rsidRDefault="002905B4" w:rsidP="00283782">
      <w:r>
        <w:t>For de enkelte brugerrejser er d</w:t>
      </w:r>
      <w:r w:rsidR="008A0729">
        <w:t xml:space="preserve">er gennemført analyser, hvor der er identificeret mulige optimeringstiltag. ”Design thinking” har været den overordnede </w:t>
      </w:r>
      <w:r w:rsidR="00B9428A">
        <w:t xml:space="preserve">metodiske </w:t>
      </w:r>
      <w:r w:rsidR="008A0729">
        <w:t>ramme for analyserne, og der er for alle seks udvalgte brugerre</w:t>
      </w:r>
      <w:r w:rsidR="00B93A75">
        <w:t>jser blevet udarbejdet en as-is brugerrejse, der kortlægger udfordringer</w:t>
      </w:r>
      <w:r w:rsidR="00B9428A">
        <w:t xml:space="preserve"> for både borgere/virksomheder og myndigheder</w:t>
      </w:r>
      <w:r w:rsidR="00B93A75">
        <w:t xml:space="preserve">, samt en to-be brugerrejse, der beskriver forslag til, hvordan de tidligere identificerede problemer kan løses. </w:t>
      </w:r>
      <w:r w:rsidR="008A0729">
        <w:t xml:space="preserve">   </w:t>
      </w:r>
    </w:p>
    <w:p w14:paraId="2F652492" w14:textId="052ABB45" w:rsidR="00216CE2" w:rsidRDefault="001B1D88" w:rsidP="00CE0F7D">
      <w:pPr>
        <w:pStyle w:val="Overskrift3"/>
      </w:pPr>
      <w:r w:rsidRPr="007258C9">
        <w:t>1+2)</w:t>
      </w:r>
      <w:r>
        <w:t xml:space="preserve"> </w:t>
      </w:r>
      <w:r w:rsidR="00216CE2">
        <w:t xml:space="preserve">Start og luk virksomhed </w:t>
      </w:r>
    </w:p>
    <w:p w14:paraId="5638C07E" w14:textId="1959A9E6" w:rsidR="00216CE2" w:rsidRDefault="00E14B80" w:rsidP="00216CE2">
      <w:r>
        <w:t xml:space="preserve">På baggrund af de gennemførte </w:t>
      </w:r>
      <w:r w:rsidR="00B93A75">
        <w:t xml:space="preserve">as-is og to-be </w:t>
      </w:r>
      <w:r>
        <w:t>analyser blev der i marts 2019 igangsat et arbejde med at udvikle en guidemotor, der skal hjælpe brugerne med at få et overblik over brugerrejserne for start og luk virksomhed og hjælpe brugeren frem og tilbage mellem forskellige selvbetjeningsløsninger.</w:t>
      </w:r>
      <w:r w:rsidR="00CE1E2E">
        <w:t xml:space="preserve"> Derudover arbejder Erhvervsstyrelsen på at udvikle og implementere selve guide-løsningen på Virk. </w:t>
      </w:r>
    </w:p>
    <w:p w14:paraId="5A3D783D" w14:textId="592CE70F" w:rsidR="00E14B80" w:rsidRDefault="00CE0F7D" w:rsidP="00CE0F7D">
      <w:pPr>
        <w:pStyle w:val="Overskrift3"/>
      </w:pPr>
      <w:r>
        <w:t xml:space="preserve">3) </w:t>
      </w:r>
      <w:r w:rsidR="00D749A2">
        <w:t xml:space="preserve">Service for udenlandske virksomheder </w:t>
      </w:r>
    </w:p>
    <w:p w14:paraId="033AAD88" w14:textId="3CBAE9D0" w:rsidR="00E14B80" w:rsidRDefault="004B18A6" w:rsidP="00E14B80">
      <w:r>
        <w:t>Analysen af as-is-brugerrejsen viste, at virksomhederne særligt har problemer med at forstå og få styr på krav til medarbejderforhold fra fagforeningerne samt medarbejderregistrering</w:t>
      </w:r>
      <w:r w:rsidR="00EA7112">
        <w:t xml:space="preserve"> hos henholdsvis kommunen, </w:t>
      </w:r>
      <w:r w:rsidR="00AB0B77">
        <w:t>S</w:t>
      </w:r>
      <w:r w:rsidR="00EA7112">
        <w:t xml:space="preserve">tatsforvaltningen og SKAT. På baggrund af to-be-analysen er der igangsat et arbejde med </w:t>
      </w:r>
      <w:r w:rsidR="00AB0B77">
        <w:t xml:space="preserve">først og fremmest </w:t>
      </w:r>
      <w:r w:rsidR="00EA7112">
        <w:t>at ensrette forståelse og fortolkning af centrale begrebe</w:t>
      </w:r>
      <w:r w:rsidR="006465AD">
        <w:t xml:space="preserve">r for </w:t>
      </w:r>
      <w:r w:rsidR="00AB0B77">
        <w:t xml:space="preserve">dernæst </w:t>
      </w:r>
      <w:r w:rsidR="006465AD">
        <w:t xml:space="preserve">at </w:t>
      </w:r>
      <w:r w:rsidR="00AB0B77">
        <w:t xml:space="preserve">kunne udvikle en sammenhængende digital </w:t>
      </w:r>
      <w:r w:rsidR="006465AD">
        <w:t>brugerrejse for de udenlandske virksomheder.</w:t>
      </w:r>
    </w:p>
    <w:p w14:paraId="7D1FE70F" w14:textId="70DA0DDB" w:rsidR="00D749A2" w:rsidRDefault="00CE0F7D" w:rsidP="00CE0F7D">
      <w:pPr>
        <w:pStyle w:val="Overskrift3"/>
      </w:pPr>
      <w:r>
        <w:t xml:space="preserve">4) </w:t>
      </w:r>
      <w:r w:rsidR="00D749A2">
        <w:t xml:space="preserve">Skilsmisse </w:t>
      </w:r>
    </w:p>
    <w:p w14:paraId="591CA045" w14:textId="6C300F74" w:rsidR="00B87A52" w:rsidRDefault="00675491" w:rsidP="00EA7112">
      <w:r>
        <w:t xml:space="preserve">Den gennemførte as-is analyse </w:t>
      </w:r>
      <w:r w:rsidR="00D0114B">
        <w:t>af br</w:t>
      </w:r>
      <w:r w:rsidR="008458AA">
        <w:t xml:space="preserve">ugerrejsen skilsmisse viste, at </w:t>
      </w:r>
      <w:r w:rsidR="00876487">
        <w:t>den manglende sammenhæng mellem myndigheder, (digitale) løsninger og kontaktpunkter gør det svært for brugerne. M</w:t>
      </w:r>
      <w:r w:rsidR="008458AA">
        <w:t>ange par ønsker at håndtere en skilsmisse godt og fornuftigt, men oplever, at det er svært at finde</w:t>
      </w:r>
      <w:r w:rsidR="00876487">
        <w:t xml:space="preserve"> hj</w:t>
      </w:r>
      <w:r w:rsidR="008615FC">
        <w:t>ælp og vejledning til dette. Der</w:t>
      </w:r>
      <w:r w:rsidR="00876487">
        <w:t xml:space="preserve"> er efterfølgende blevet</w:t>
      </w:r>
      <w:r w:rsidR="008615FC">
        <w:t xml:space="preserve"> udviklet en digital guide</w:t>
      </w:r>
      <w:r w:rsidR="00D81217">
        <w:t xml:space="preserve"> på borger.dk</w:t>
      </w:r>
      <w:r w:rsidR="008615FC">
        <w:t xml:space="preserve">, som </w:t>
      </w:r>
      <w:r w:rsidR="00876487" w:rsidRPr="00876487">
        <w:t>imødekomme</w:t>
      </w:r>
      <w:r w:rsidR="00D81217">
        <w:t>r</w:t>
      </w:r>
      <w:r w:rsidR="00876487" w:rsidRPr="00876487">
        <w:t xml:space="preserve"> borgernes behov for at få et samlet overblik over deres situation og</w:t>
      </w:r>
      <w:r w:rsidR="00D81217">
        <w:t xml:space="preserve"> over</w:t>
      </w:r>
      <w:r w:rsidR="00876487" w:rsidRPr="00876487">
        <w:t xml:space="preserve"> de forhold, de skal tage stilling til</w:t>
      </w:r>
      <w:r w:rsidR="00D81217">
        <w:t xml:space="preserve"> i forbindelse med en skilsmisse</w:t>
      </w:r>
      <w:r w:rsidR="00876487" w:rsidRPr="00876487">
        <w:t>.</w:t>
      </w:r>
      <w:r w:rsidR="00876487">
        <w:t xml:space="preserve"> </w:t>
      </w:r>
      <w:r w:rsidR="00CE0F7D">
        <w:t>Guiden</w:t>
      </w:r>
      <w:r w:rsidR="00876487">
        <w:t xml:space="preserve"> ”Når I går fra hinanden” </w:t>
      </w:r>
      <w:r w:rsidR="00CE0F7D">
        <w:t xml:space="preserve">er </w:t>
      </w:r>
      <w:r w:rsidR="00876487">
        <w:t xml:space="preserve">tilgængelig på borger.dk. </w:t>
      </w:r>
    </w:p>
    <w:p w14:paraId="3A3D66DC" w14:textId="77451F7A" w:rsidR="00D749A2" w:rsidRDefault="00CE0F7D" w:rsidP="00CE0F7D">
      <w:pPr>
        <w:pStyle w:val="Overskrift3"/>
      </w:pPr>
      <w:r>
        <w:lastRenderedPageBreak/>
        <w:t xml:space="preserve">5) </w:t>
      </w:r>
      <w:r w:rsidR="00D749A2">
        <w:t>Flyt</w:t>
      </w:r>
      <w:r w:rsidR="00D81217">
        <w:t>ning</w:t>
      </w:r>
      <w:r w:rsidR="00D749A2">
        <w:t xml:space="preserve"> </w:t>
      </w:r>
    </w:p>
    <w:p w14:paraId="609FE00F" w14:textId="39024AA7" w:rsidR="00876487" w:rsidRDefault="00876487" w:rsidP="00876487">
      <w:r>
        <w:t xml:space="preserve">Med afsæt i en kortlægning af borgernes udfordringer og behov i forbindelse med en flytning er der udarbejdet en </w:t>
      </w:r>
      <w:r w:rsidR="00CE0F7D">
        <w:t xml:space="preserve">digital </w:t>
      </w:r>
      <w:r>
        <w:t xml:space="preserve">guide. </w:t>
      </w:r>
      <w:r w:rsidR="007B459A">
        <w:t>Denne f</w:t>
      </w:r>
      <w:r>
        <w:t xml:space="preserve">lytteguide har til formål at imødekomme borgernes behov for et overblik over de gøremål, der er knyttet til en flytning. Guiden </w:t>
      </w:r>
      <w:r w:rsidR="00EB1F1D">
        <w:t xml:space="preserve">vil </w:t>
      </w:r>
      <w:r>
        <w:t xml:space="preserve">løbende </w:t>
      </w:r>
      <w:r w:rsidR="00EB1F1D">
        <w:t xml:space="preserve">blive videreudviklet på baggrund af </w:t>
      </w:r>
      <w:r>
        <w:t>feedback</w:t>
      </w:r>
      <w:r w:rsidR="00EB1F1D">
        <w:t xml:space="preserve"> fra </w:t>
      </w:r>
      <w:r w:rsidR="00663A83">
        <w:t>brugerne.</w:t>
      </w:r>
      <w:r w:rsidR="00EB1F1D">
        <w:t xml:space="preserve"> En videreudvikling vil ske</w:t>
      </w:r>
      <w:r>
        <w:t xml:space="preserve"> i samarbejde med de relevante myndigheder, der er i berøring med flyttebrugerrejsen.</w:t>
      </w:r>
      <w:r w:rsidR="00905D89">
        <w:t xml:space="preserve"> </w:t>
      </w:r>
      <w:r w:rsidR="00663A83">
        <w:t>Flytteg</w:t>
      </w:r>
      <w:r w:rsidR="00CE0F7D">
        <w:t>uide</w:t>
      </w:r>
      <w:r w:rsidR="00663A83">
        <w:t xml:space="preserve">n </w:t>
      </w:r>
      <w:r w:rsidR="00E93DB6">
        <w:t>er tilgængelig</w:t>
      </w:r>
      <w:r w:rsidR="00905D89">
        <w:t xml:space="preserve"> på borger.dk. </w:t>
      </w:r>
    </w:p>
    <w:p w14:paraId="3624DB8B" w14:textId="559FECAD" w:rsidR="00EA7112" w:rsidRDefault="00CE0F7D" w:rsidP="00CE0F7D">
      <w:pPr>
        <w:pStyle w:val="Overskrift3"/>
      </w:pPr>
      <w:r>
        <w:t xml:space="preserve">6) </w:t>
      </w:r>
      <w:r w:rsidR="00EA7112">
        <w:t>Bliv digital borger (LAAK)</w:t>
      </w:r>
    </w:p>
    <w:p w14:paraId="1247AF3F" w14:textId="1E94E015" w:rsidR="00D749A2" w:rsidRDefault="00D053E6" w:rsidP="00D749A2">
      <w:r>
        <w:t>Analysen af as-is viste, at det særlig</w:t>
      </w:r>
      <w:r w:rsidR="00BF17A3">
        <w:t>t er en manglende oplevelse af relevans</w:t>
      </w:r>
      <w:r w:rsidR="00CA2A4C">
        <w:t xml:space="preserve"> og ikke mindst en lang ventetid mellem erhvervelsen af NemID og registreringen af kontaktoplysninger i Digital Post</w:t>
      </w:r>
      <w:r w:rsidR="00BF17A3">
        <w:t xml:space="preserve">, der er grund til, at de unge ikke får tjekket deres digitale post. De </w:t>
      </w:r>
      <w:r w:rsidR="008615FC">
        <w:t xml:space="preserve">unge </w:t>
      </w:r>
      <w:r w:rsidR="00BF17A3">
        <w:t>forventer, at deres forældre vil få besked, hvis det er noget vigtigt</w:t>
      </w:r>
      <w:r w:rsidR="00CA2A4C">
        <w:t>,</w:t>
      </w:r>
      <w:r w:rsidR="00BF17A3">
        <w:t xml:space="preserve"> de skal reagere</w:t>
      </w:r>
      <w:r w:rsidR="008615FC">
        <w:t xml:space="preserve"> på</w:t>
      </w:r>
      <w:r w:rsidR="00BF17A3">
        <w:t>. Forældrene betragtes derfor også som en vigtig målgruppe</w:t>
      </w:r>
      <w:r w:rsidR="008615FC">
        <w:t xml:space="preserve"> i brugerrejsen</w:t>
      </w:r>
      <w:r w:rsidR="00BF17A3">
        <w:t>. Af den gennemførte analyse er der foreslået kortsigtede og langsigtede forbedringsforslag. Rapportens langsigtede forbedringsforslag til brugerrejsen er bragt videre i arbejdet med at udvikle de næste generationer af Digital Post og NemID (MitID).</w:t>
      </w:r>
      <w:r w:rsidR="00CA2A4C">
        <w:t xml:space="preserve"> </w:t>
      </w:r>
      <w:r w:rsidR="00BF17A3">
        <w:t>Rapportens kortsigtede forbedringsforslag består i kommunikationsindsatser og optimerede kommunikationsprodukter. I den forbindelse er der udviklet nye breve til 15-årige</w:t>
      </w:r>
      <w:r w:rsidR="00843D18">
        <w:t xml:space="preserve"> til erstatning for de gamle</w:t>
      </w:r>
      <w:r w:rsidR="00D64447">
        <w:t xml:space="preserve"> samt bedre vejledning på borger.dk og nemid.nu</w:t>
      </w:r>
      <w:r w:rsidR="00BF17A3">
        <w:t xml:space="preserve">. Der </w:t>
      </w:r>
      <w:r w:rsidR="00F37647">
        <w:t>er desuden blevet udarbejdet et</w:t>
      </w:r>
      <w:r w:rsidR="00BF17A3">
        <w:t xml:space="preserve"> brev til de 15-årige</w:t>
      </w:r>
      <w:r w:rsidR="008615FC">
        <w:t>s forældre</w:t>
      </w:r>
      <w:r w:rsidR="00BF17A3">
        <w:t>.</w:t>
      </w:r>
      <w:r w:rsidR="00F37647">
        <w:t xml:space="preserve"> Det forventes implementeret i løbet af 2019.</w:t>
      </w:r>
      <w:r w:rsidR="00BF17A3">
        <w:t xml:space="preserve"> </w:t>
      </w:r>
      <w:r w:rsidR="00F37647">
        <w:t xml:space="preserve">Arbejdet med brugerrejsen fortsætter i regi af </w:t>
      </w:r>
      <w:r w:rsidR="00B9428A">
        <w:t>D</w:t>
      </w:r>
      <w:r w:rsidR="00F37647">
        <w:t xml:space="preserve">igitaliseringspagten, hvor det er aftalt, at der skal udvikles en digital guide. </w:t>
      </w:r>
    </w:p>
    <w:p w14:paraId="631AC60C" w14:textId="77777777" w:rsidR="00B657E0" w:rsidRDefault="00B657E0" w:rsidP="003B5CAC">
      <w:pPr>
        <w:pStyle w:val="Overskrift2"/>
      </w:pPr>
      <w:r>
        <w:t>Fremtidigt ejerskab</w:t>
      </w:r>
    </w:p>
    <w:p w14:paraId="152CA31D" w14:textId="06BEF8D6" w:rsidR="00BC251D" w:rsidRDefault="00BC251D" w:rsidP="00BC251D">
      <w:r>
        <w:t xml:space="preserve">Fra 1. april 2019 overflyttede arbejdet med sammenhængende brugerrejser på virksomhedsområdet </w:t>
      </w:r>
      <w:r w:rsidR="00CE0F7D">
        <w:t xml:space="preserve">fuldt ud </w:t>
      </w:r>
      <w:r>
        <w:t xml:space="preserve">til Erhvervsstyrelsen, da arbejdet blev en del af regeringens udspil ”Mindre bureaukrati – mere vækst”. </w:t>
      </w:r>
      <w:r w:rsidR="008615FC">
        <w:t xml:space="preserve">Erhvervsstyrelsen </w:t>
      </w:r>
      <w:r w:rsidR="008615FC" w:rsidRPr="008615FC">
        <w:t>vil</w:t>
      </w:r>
      <w:r w:rsidR="008615FC">
        <w:t xml:space="preserve"> fortsat</w:t>
      </w:r>
      <w:r w:rsidR="008615FC" w:rsidRPr="008615FC">
        <w:t xml:space="preserve"> have et tæt samarbejde</w:t>
      </w:r>
      <w:r w:rsidR="00F37647">
        <w:t xml:space="preserve"> med de fællesoffentlige parter i </w:t>
      </w:r>
      <w:r w:rsidR="00B9428A">
        <w:t xml:space="preserve">regi </w:t>
      </w:r>
      <w:r w:rsidR="00F37647">
        <w:t>af styregruppen for digital kommunikation</w:t>
      </w:r>
      <w:r w:rsidR="00663A83">
        <w:t xml:space="preserve"> </w:t>
      </w:r>
      <w:r w:rsidR="008615FC" w:rsidRPr="008615FC">
        <w:t>om</w:t>
      </w:r>
      <w:r w:rsidR="00663A83">
        <w:t xml:space="preserve"> </w:t>
      </w:r>
      <w:r w:rsidR="008615FC" w:rsidRPr="008615FC">
        <w:t>udvikling af guidemotoren og om udviklingen af brugerrejser generelt.</w:t>
      </w:r>
    </w:p>
    <w:p w14:paraId="6380822C" w14:textId="24FDE9E2" w:rsidR="0067064C" w:rsidRDefault="00BC251D">
      <w:r>
        <w:t xml:space="preserve">Arbejdet med de borgervendte sammenhængende brugerrejser videreføres i Digitaliseringspagten, der er aftalt mellem KL, Danske Regioner og </w:t>
      </w:r>
      <w:r w:rsidR="00CE0F7D">
        <w:t>r</w:t>
      </w:r>
      <w:r>
        <w:t xml:space="preserve">egeringen i marts 2019. </w:t>
      </w:r>
    </w:p>
    <w:p w14:paraId="6C7A4076" w14:textId="44C03697" w:rsidR="008615FC" w:rsidRDefault="00B93A75">
      <w:r>
        <w:t xml:space="preserve">Der vil med udgangspunkt i flytning som livssituation blive arbejdet videre med arkitektur for de fællesoffentlige guides. Arbejdet munder ud i en analyse af muligheder og konsekvenser ved at bygge en fællesoffentlig guidekomponent henholdsvis bygge videre på borger.dk’s infrastruktur. Samtidig </w:t>
      </w:r>
      <w:r w:rsidR="00B9428A">
        <w:t xml:space="preserve">inddrages </w:t>
      </w:r>
      <w:r>
        <w:t xml:space="preserve">løbende erfaringer fra Erhvervsstyrelsens udvikling af guidemotoren, der skal understøtte de erhvervsrettede guides. Styregruppen for initiativet </w:t>
      </w:r>
      <w:r w:rsidR="00663A83">
        <w:t xml:space="preserve">vil </w:t>
      </w:r>
      <w:r>
        <w:t xml:space="preserve">blive forelagt et beslutningsgrundlag for valg af fremtidig generel arkitektur for de fællesoffentlige </w:t>
      </w:r>
      <w:r w:rsidR="00B9428A">
        <w:t xml:space="preserve">borgervendte </w:t>
      </w:r>
      <w:r>
        <w:t xml:space="preserve">guides. </w:t>
      </w:r>
    </w:p>
    <w:p w14:paraId="2E2F50F3" w14:textId="041B314E" w:rsidR="00B87A52" w:rsidRDefault="00C918FD" w:rsidP="00392770">
      <w:pPr>
        <w:pStyle w:val="Overskrift2"/>
      </w:pPr>
      <w:r>
        <w:lastRenderedPageBreak/>
        <w:t>Effektmål</w:t>
      </w:r>
    </w:p>
    <w:p w14:paraId="567364A8" w14:textId="059F6532" w:rsidR="000F2BF3" w:rsidRDefault="000F2BF3" w:rsidP="000F2BF3">
      <w:r>
        <w:t xml:space="preserve">Initiativet skal skabe værdi for de brugere, der skal igennem de udvalgte brugerrejser i initiativet og i den forbindelse anvende de etablerede guides. Det er forventningen, at der som følge af en mere sammenhængende brugerrejse for borgerne og virksomhederne også vil </w:t>
      </w:r>
      <w:r w:rsidR="002C569E">
        <w:t xml:space="preserve">være afledte effekter i form af </w:t>
      </w:r>
      <w:r>
        <w:t xml:space="preserve">effektivisering hos myndighederne, fx i form af faldende support og færre tilbageløb i sagsbehandlingen. </w:t>
      </w:r>
    </w:p>
    <w:p w14:paraId="7190361D" w14:textId="51E62783" w:rsidR="00E53E98" w:rsidRDefault="000F2BF3" w:rsidP="000F2BF3">
      <w:r>
        <w:t>Som tidligere nævnt vil arbejdet med de sammenhægende brugerrejser blive videreført med initiativet i Digitaliseringspagten. Her er det besluttet, at der inden udgangen af 2021 skal være skabt sammenhængende brugerrejse</w:t>
      </w:r>
      <w:r w:rsidR="0057061C">
        <w:t>r</w:t>
      </w:r>
      <w:r>
        <w:t xml:space="preserve"> i form af guides for i alt 11 udvalgte livssituationer, heriblandt brugerrejserne fra initiativ 1.1. Der arbejdes løbende på at forbedre de guides, som implementeres, ligesom der kan være yderligere mere langsigtede indsatser for at skabe sammenhængende brugerrejser (fx datadeling og juridisk arbejde), hvorfor effekten af arbejdet med brugerrejser ikke kan ses som en statisk størrelse</w:t>
      </w:r>
      <w:r w:rsidR="0057061C">
        <w:t>,</w:t>
      </w:r>
      <w:r>
        <w:t xml:space="preserve"> men løbende vil forøges. </w:t>
      </w:r>
    </w:p>
    <w:p w14:paraId="4E3347B6" w14:textId="77777777" w:rsidR="00BB0353" w:rsidRDefault="00DF6FD5" w:rsidP="000F2BF3">
      <w:r>
        <w:t>PSTG godkendte i september 2018 nedenstående effektmål</w:t>
      </w:r>
      <w:r w:rsidR="000B16C7">
        <w:t>, hvortil er angivet</w:t>
      </w:r>
      <w:r w:rsidR="0001466A">
        <w:t xml:space="preserve"> status:</w:t>
      </w:r>
      <w:bookmarkStart w:id="3" w:name="bmkInsertObject"/>
    </w:p>
    <w:tbl>
      <w:tblPr>
        <w:tblW w:w="7730" w:type="dxa"/>
        <w:tblBorders>
          <w:top w:val="single" w:sz="2" w:space="0" w:color="auto"/>
          <w:insideH w:val="single" w:sz="2" w:space="0" w:color="auto"/>
        </w:tblBorders>
        <w:shd w:val="clear" w:color="auto" w:fill="F9F8E0"/>
        <w:tblLayout w:type="fixed"/>
        <w:tblCellMar>
          <w:left w:w="0" w:type="dxa"/>
          <w:right w:w="0" w:type="dxa"/>
        </w:tblCellMar>
        <w:tblLook w:val="01E0" w:firstRow="1" w:lastRow="1" w:firstColumn="1" w:lastColumn="1" w:noHBand="0" w:noVBand="0"/>
      </w:tblPr>
      <w:tblGrid>
        <w:gridCol w:w="7730"/>
      </w:tblGrid>
      <w:tr w:rsidR="00BB0353" w:rsidRPr="00DA313C" w14:paraId="452F9669" w14:textId="77777777" w:rsidTr="00670F77">
        <w:trPr>
          <w:trHeight w:val="420"/>
        </w:trPr>
        <w:tc>
          <w:tcPr>
            <w:tcW w:w="7730" w:type="dxa"/>
            <w:tcBorders>
              <w:bottom w:val="single" w:sz="2" w:space="0" w:color="auto"/>
            </w:tcBorders>
            <w:shd w:val="clear" w:color="auto" w:fill="F9F8E0"/>
            <w:tcMar>
              <w:bottom w:w="170" w:type="dxa"/>
            </w:tcMar>
          </w:tcPr>
          <w:p w14:paraId="47F35501" w14:textId="0CCA271E" w:rsidR="00BB0353" w:rsidRPr="00DA313C" w:rsidRDefault="00BB0353" w:rsidP="00EE3E6B">
            <w:pPr>
              <w:pStyle w:val="Billedtekst"/>
              <w:rPr>
                <w:noProof/>
              </w:rPr>
            </w:pPr>
            <w:bookmarkStart w:id="4" w:name="SD_LAN_Tabel"/>
            <w:r>
              <w:rPr>
                <w:noProof/>
              </w:rPr>
              <w:lastRenderedPageBreak/>
              <w:t>Tabel</w:t>
            </w:r>
            <w:bookmarkEnd w:id="4"/>
            <w:r w:rsidRPr="00DA313C">
              <w:rPr>
                <w:noProof/>
              </w:rPr>
              <w:t xml:space="preserve"> </w:t>
            </w:r>
            <w:r w:rsidRPr="00DA313C">
              <w:rPr>
                <w:noProof/>
              </w:rPr>
              <w:fldChar w:fldCharType="begin"/>
            </w:r>
            <w:r>
              <w:rPr>
                <w:noProof/>
              </w:rPr>
              <w:instrText>SEQ Tabel \* ARABIC \s 1</w:instrText>
            </w:r>
            <w:r w:rsidRPr="00DA313C">
              <w:rPr>
                <w:noProof/>
              </w:rPr>
              <w:fldChar w:fldCharType="separate"/>
            </w:r>
            <w:r>
              <w:rPr>
                <w:noProof/>
              </w:rPr>
              <w:t>1</w:t>
            </w:r>
            <w:r w:rsidRPr="00DA313C">
              <w:rPr>
                <w:noProof/>
              </w:rPr>
              <w:fldChar w:fldCharType="end"/>
            </w:r>
          </w:p>
          <w:p w14:paraId="5D10E7B8" w14:textId="214FC805" w:rsidR="00BB0353" w:rsidRPr="00DA313C" w:rsidRDefault="00BB0353" w:rsidP="00EE3E6B">
            <w:pPr>
              <w:pStyle w:val="BoksOverskrift"/>
              <w:rPr>
                <w:noProof/>
              </w:rPr>
            </w:pPr>
            <w:r>
              <w:rPr>
                <w:noProof/>
              </w:rPr>
              <w:t>Effektmål for initiativ 1.1</w:t>
            </w:r>
          </w:p>
          <w:tbl>
            <w:tblPr>
              <w:tblpPr w:leftFromText="180" w:rightFromText="180" w:vertAnchor="text" w:tblpX="227" w:tblpY="1"/>
              <w:tblOverlap w:val="never"/>
              <w:tblW w:w="8443" w:type="dxa"/>
              <w:tblBorders>
                <w:top w:val="single" w:sz="8" w:space="0" w:color="E4E2D9"/>
                <w:bottom w:val="single" w:sz="8" w:space="0" w:color="E4E2D9"/>
                <w:insideH w:val="single" w:sz="8" w:space="0" w:color="E4E2D9"/>
              </w:tblBorders>
              <w:tblLayout w:type="fixed"/>
              <w:tblCellMar>
                <w:left w:w="0" w:type="dxa"/>
                <w:right w:w="0" w:type="dxa"/>
              </w:tblCellMar>
              <w:tblLook w:val="01E0" w:firstRow="1" w:lastRow="1" w:firstColumn="1" w:lastColumn="1" w:noHBand="0" w:noVBand="0"/>
            </w:tblPr>
            <w:tblGrid>
              <w:gridCol w:w="1145"/>
              <w:gridCol w:w="2147"/>
              <w:gridCol w:w="2003"/>
              <w:gridCol w:w="2433"/>
              <w:gridCol w:w="715"/>
            </w:tblGrid>
            <w:tr w:rsidR="00AB760D" w:rsidRPr="00E54AF3" w14:paraId="3D8493C3" w14:textId="77777777" w:rsidTr="00670F77">
              <w:trPr>
                <w:gridAfter w:val="1"/>
                <w:wAfter w:w="715" w:type="dxa"/>
                <w:trHeight w:val="271"/>
              </w:trPr>
              <w:tc>
                <w:tcPr>
                  <w:tcW w:w="1145" w:type="dxa"/>
                  <w:vAlign w:val="center"/>
                </w:tcPr>
                <w:p w14:paraId="6C966E4F" w14:textId="77777777" w:rsidR="00AB760D" w:rsidRPr="00E54AF3" w:rsidRDefault="00AB760D" w:rsidP="00AB760D">
                  <w:pPr>
                    <w:pStyle w:val="Tabelkolonneoverskrift"/>
                    <w:jc w:val="left"/>
                  </w:pPr>
                </w:p>
              </w:tc>
              <w:tc>
                <w:tcPr>
                  <w:tcW w:w="2147" w:type="dxa"/>
                  <w:vAlign w:val="center"/>
                </w:tcPr>
                <w:p w14:paraId="6212BF30" w14:textId="74A40D4A" w:rsidR="00AB760D" w:rsidRPr="00E54AF3" w:rsidRDefault="00AB760D" w:rsidP="00AB760D">
                  <w:pPr>
                    <w:pStyle w:val="Tabelkolonneoverskrift"/>
                  </w:pPr>
                  <w:r>
                    <w:t>Målbeskrivelse</w:t>
                  </w:r>
                </w:p>
              </w:tc>
              <w:tc>
                <w:tcPr>
                  <w:tcW w:w="2003" w:type="dxa"/>
                  <w:vAlign w:val="center"/>
                </w:tcPr>
                <w:p w14:paraId="043D8343" w14:textId="71E5880D" w:rsidR="00AB760D" w:rsidRPr="00E54AF3" w:rsidRDefault="00AB760D" w:rsidP="00AB760D">
                  <w:pPr>
                    <w:pStyle w:val="Tabelkolonneoverskrift"/>
                  </w:pPr>
                  <w:r>
                    <w:t>Opfyldt, når…</w:t>
                  </w:r>
                </w:p>
              </w:tc>
              <w:tc>
                <w:tcPr>
                  <w:tcW w:w="2433" w:type="dxa"/>
                  <w:vAlign w:val="center"/>
                </w:tcPr>
                <w:p w14:paraId="58A17A1F" w14:textId="66C8518A" w:rsidR="00AB760D" w:rsidRPr="00E54AF3" w:rsidRDefault="00AB760D" w:rsidP="00AB760D">
                  <w:pPr>
                    <w:pStyle w:val="Tabelkolonneoverskrift"/>
                  </w:pPr>
                  <w:r>
                    <w:t>Bemærkninger /status</w:t>
                  </w:r>
                </w:p>
              </w:tc>
            </w:tr>
            <w:tr w:rsidR="00AB760D" w:rsidRPr="00E54AF3" w14:paraId="320B2A3B" w14:textId="77777777" w:rsidTr="00670F77">
              <w:trPr>
                <w:gridAfter w:val="1"/>
                <w:wAfter w:w="715" w:type="dxa"/>
                <w:trHeight w:val="271"/>
              </w:trPr>
              <w:tc>
                <w:tcPr>
                  <w:tcW w:w="1145" w:type="dxa"/>
                  <w:vMerge w:val="restart"/>
                  <w:textDirection w:val="btLr"/>
                  <w:vAlign w:val="center"/>
                </w:tcPr>
                <w:p w14:paraId="04D444AF" w14:textId="7D736E91" w:rsidR="00AB760D" w:rsidRPr="00E54AF3" w:rsidRDefault="00AB760D" w:rsidP="00AB760D">
                  <w:pPr>
                    <w:pStyle w:val="Tabeltekst"/>
                    <w:ind w:left="113"/>
                    <w:jc w:val="center"/>
                  </w:pPr>
                  <w:r>
                    <w:t>Implementeringsmål</w:t>
                  </w:r>
                </w:p>
              </w:tc>
              <w:tc>
                <w:tcPr>
                  <w:tcW w:w="2147" w:type="dxa"/>
                  <w:vAlign w:val="center"/>
                </w:tcPr>
                <w:p w14:paraId="5E5BA073" w14:textId="3EFB3E80" w:rsidR="00AB760D" w:rsidRPr="00E54AF3" w:rsidRDefault="00AB760D" w:rsidP="00AB760D">
                  <w:pPr>
                    <w:pStyle w:val="Tabeltal"/>
                  </w:pPr>
                  <w:r w:rsidRPr="00C31159">
                    <w:t xml:space="preserve">Der er implementeret en guide for henholdsvis </w:t>
                  </w:r>
                  <w:r w:rsidRPr="0018610D">
                    <w:rPr>
                      <w:b/>
                    </w:rPr>
                    <w:t>flytning</w:t>
                  </w:r>
                  <w:r w:rsidRPr="00C31159">
                    <w:t xml:space="preserve"> og </w:t>
                  </w:r>
                  <w:r w:rsidRPr="0018610D">
                    <w:rPr>
                      <w:b/>
                    </w:rPr>
                    <w:t>skilsmisse</w:t>
                  </w:r>
                  <w:r w:rsidRPr="00C31159">
                    <w:t xml:space="preserve"> på borger.dk.</w:t>
                  </w:r>
                </w:p>
              </w:tc>
              <w:tc>
                <w:tcPr>
                  <w:tcW w:w="2003" w:type="dxa"/>
                  <w:vAlign w:val="center"/>
                </w:tcPr>
                <w:p w14:paraId="7C27426D" w14:textId="2595065A" w:rsidR="00AB760D" w:rsidRPr="00E54AF3" w:rsidRDefault="00AB760D" w:rsidP="00AB760D">
                  <w:pPr>
                    <w:pStyle w:val="Tabeltal"/>
                  </w:pPr>
                  <w:r w:rsidRPr="00C31159">
                    <w:t>…borgerne kan tilgå og anvende en guide for henholdsvis flytning og skilsmisse på borger.dk</w:t>
                  </w:r>
                </w:p>
              </w:tc>
              <w:tc>
                <w:tcPr>
                  <w:tcW w:w="2433" w:type="dxa"/>
                  <w:vAlign w:val="center"/>
                </w:tcPr>
                <w:p w14:paraId="2AF38253" w14:textId="35E630E8" w:rsidR="00AB760D" w:rsidRPr="00E54AF3" w:rsidRDefault="00AB760D" w:rsidP="00AB760D">
                  <w:pPr>
                    <w:pStyle w:val="Tabeltal"/>
                  </w:pPr>
                  <w:r>
                    <w:t>Opfyldt.</w:t>
                  </w:r>
                </w:p>
              </w:tc>
            </w:tr>
            <w:tr w:rsidR="00AB760D" w:rsidRPr="00E54AF3" w14:paraId="7C732B86" w14:textId="77777777" w:rsidTr="00670F77">
              <w:trPr>
                <w:gridAfter w:val="1"/>
                <w:wAfter w:w="715" w:type="dxa"/>
                <w:trHeight w:val="271"/>
              </w:trPr>
              <w:tc>
                <w:tcPr>
                  <w:tcW w:w="1145" w:type="dxa"/>
                  <w:vMerge/>
                  <w:vAlign w:val="center"/>
                </w:tcPr>
                <w:p w14:paraId="715FECAE" w14:textId="6D0D70AD" w:rsidR="00AB760D" w:rsidRPr="00E54AF3" w:rsidRDefault="00AB760D" w:rsidP="00AB760D">
                  <w:pPr>
                    <w:pStyle w:val="Tabeltekst"/>
                  </w:pPr>
                </w:p>
              </w:tc>
              <w:tc>
                <w:tcPr>
                  <w:tcW w:w="2147" w:type="dxa"/>
                  <w:vAlign w:val="center"/>
                </w:tcPr>
                <w:p w14:paraId="0807B87D" w14:textId="69F645C4" w:rsidR="00AB760D" w:rsidRPr="00E54AF3" w:rsidRDefault="00AB760D" w:rsidP="00AB760D">
                  <w:pPr>
                    <w:pStyle w:val="Tabeltal"/>
                  </w:pPr>
                  <w:r w:rsidRPr="00C31159">
                    <w:t xml:space="preserve">Der er implementeret en guide for </w:t>
                  </w:r>
                  <w:r w:rsidRPr="0018610D">
                    <w:rPr>
                      <w:b/>
                    </w:rPr>
                    <w:t>start og luk virksomhed</w:t>
                  </w:r>
                  <w:r w:rsidRPr="00C31159">
                    <w:t xml:space="preserve"> på Virk</w:t>
                  </w:r>
                </w:p>
              </w:tc>
              <w:tc>
                <w:tcPr>
                  <w:tcW w:w="2003" w:type="dxa"/>
                  <w:vAlign w:val="center"/>
                </w:tcPr>
                <w:p w14:paraId="2B3D4ED4" w14:textId="596B610B" w:rsidR="00AB760D" w:rsidRPr="00E54AF3" w:rsidRDefault="00AB760D" w:rsidP="00AB760D">
                  <w:pPr>
                    <w:pStyle w:val="Tabeltal"/>
                  </w:pPr>
                  <w:r w:rsidRPr="00F70EB0">
                    <w:t>…virksomhederne kan tilgå og anvende en guide for henholdsvis start virksomhed og luk virksomhed på Virk</w:t>
                  </w:r>
                </w:p>
              </w:tc>
              <w:tc>
                <w:tcPr>
                  <w:tcW w:w="2433" w:type="dxa"/>
                  <w:vAlign w:val="center"/>
                </w:tcPr>
                <w:p w14:paraId="32DC3384" w14:textId="5AEF11A4" w:rsidR="00AB760D" w:rsidRPr="00E54AF3" w:rsidRDefault="00AB760D" w:rsidP="00AB760D">
                  <w:pPr>
                    <w:pStyle w:val="Tabeltal"/>
                  </w:pPr>
                  <w:r>
                    <w:t>Erhvervsstyrelsen arbejder på realiseringen. Der følges op i regi af ”Mindre bureaukrati – mere vækst”, jf. ovenfor.</w:t>
                  </w:r>
                </w:p>
              </w:tc>
            </w:tr>
            <w:tr w:rsidR="00AB760D" w:rsidRPr="00E54AF3" w14:paraId="3A06AA31" w14:textId="77777777" w:rsidTr="00670F77">
              <w:trPr>
                <w:gridAfter w:val="1"/>
                <w:wAfter w:w="715" w:type="dxa"/>
                <w:trHeight w:val="271"/>
              </w:trPr>
              <w:tc>
                <w:tcPr>
                  <w:tcW w:w="1145" w:type="dxa"/>
                  <w:vMerge/>
                  <w:vAlign w:val="center"/>
                </w:tcPr>
                <w:p w14:paraId="6959B023" w14:textId="0E64BB2A" w:rsidR="00AB760D" w:rsidRPr="00E54AF3" w:rsidRDefault="00AB760D" w:rsidP="00AB760D">
                  <w:pPr>
                    <w:pStyle w:val="Tabeltekst"/>
                  </w:pPr>
                </w:p>
              </w:tc>
              <w:tc>
                <w:tcPr>
                  <w:tcW w:w="2147" w:type="dxa"/>
                  <w:vAlign w:val="center"/>
                </w:tcPr>
                <w:p w14:paraId="30C7143E" w14:textId="39CD07BE" w:rsidR="00AB760D" w:rsidRPr="00E54AF3" w:rsidRDefault="00AB760D" w:rsidP="00AB760D">
                  <w:pPr>
                    <w:pStyle w:val="Tabeltal"/>
                  </w:pPr>
                  <w:r w:rsidRPr="0018610D">
                    <w:rPr>
                      <w:b/>
                    </w:rPr>
                    <w:t>Bliv digital borger:</w:t>
                  </w:r>
                  <w:r w:rsidRPr="00C31159">
                    <w:t xml:space="preserve"> Kommunikationen til 15-årige og deres forældre i forbindelse med Digital Post er revideret, brugertestet og implementeret. Konkret implementeres en række breve til de 15-årige om Digital Post og NemID, der udsendes et nyt brev til forældrene om emnet, og der udarbejdes sider på borger.dk målrettet de to målgrupper.</w:t>
                  </w:r>
                  <w:r w:rsidR="00196F20">
                    <w:br/>
                  </w:r>
                </w:p>
              </w:tc>
              <w:tc>
                <w:tcPr>
                  <w:tcW w:w="2003" w:type="dxa"/>
                  <w:vAlign w:val="center"/>
                </w:tcPr>
                <w:p w14:paraId="60606D15" w14:textId="7059D95F" w:rsidR="00AB760D" w:rsidRPr="00E54AF3" w:rsidRDefault="00AB760D" w:rsidP="00AB760D">
                  <w:pPr>
                    <w:pStyle w:val="Tabeltal"/>
                  </w:pPr>
                  <w:r w:rsidRPr="00F70EB0">
                    <w:t>…</w:t>
                  </w:r>
                  <w:r>
                    <w:t xml:space="preserve"> </w:t>
                  </w:r>
                  <w:r w:rsidRPr="00F70EB0">
                    <w:t>kommunikationen til 15-årige og deres forældre er idriftsat</w:t>
                  </w:r>
                  <w:r>
                    <w:t>.</w:t>
                  </w:r>
                </w:p>
              </w:tc>
              <w:tc>
                <w:tcPr>
                  <w:tcW w:w="2433" w:type="dxa"/>
                  <w:vAlign w:val="center"/>
                </w:tcPr>
                <w:p w14:paraId="2084A6DC" w14:textId="77777777" w:rsidR="00AB760D" w:rsidRPr="00BB0353" w:rsidRDefault="00AB760D" w:rsidP="00AB760D">
                  <w:pPr>
                    <w:pStyle w:val="Tabeltal"/>
                  </w:pPr>
                  <w:r w:rsidRPr="00BB0353">
                    <w:t xml:space="preserve">Opfyldt for så vidt angår brev og websider til de unge samt websider til forældrene. </w:t>
                  </w:r>
                </w:p>
                <w:p w14:paraId="58746813" w14:textId="1C01F714" w:rsidR="00AB760D" w:rsidRPr="00E54AF3" w:rsidRDefault="00AB760D" w:rsidP="00AB760D">
                  <w:pPr>
                    <w:pStyle w:val="Tabeltal"/>
                  </w:pPr>
                  <w:r w:rsidRPr="00BB0353">
                    <w:t>Brev til forældre er udviklet, og der arbejdes på særligt den tekniske understøttelse af udsendelsen. DIGST er ansvarlig herfor, og der følges op i regi af styregruppen for digital kommunikation (Digitaliseringspagten).</w:t>
                  </w:r>
                </w:p>
              </w:tc>
            </w:tr>
            <w:tr w:rsidR="00AB760D" w:rsidRPr="00E54AF3" w14:paraId="3DA05AE2" w14:textId="77777777" w:rsidTr="00670F77">
              <w:trPr>
                <w:gridAfter w:val="1"/>
                <w:wAfter w:w="715" w:type="dxa"/>
                <w:trHeight w:val="271"/>
              </w:trPr>
              <w:tc>
                <w:tcPr>
                  <w:tcW w:w="1145" w:type="dxa"/>
                  <w:vMerge/>
                  <w:vAlign w:val="center"/>
                </w:tcPr>
                <w:p w14:paraId="2CBBEDE0" w14:textId="77777777" w:rsidR="00AB760D" w:rsidRPr="00E54AF3" w:rsidRDefault="00AB760D" w:rsidP="00AB760D">
                  <w:pPr>
                    <w:pStyle w:val="Tabeltekst"/>
                  </w:pPr>
                </w:p>
              </w:tc>
              <w:tc>
                <w:tcPr>
                  <w:tcW w:w="2147" w:type="dxa"/>
                  <w:vAlign w:val="center"/>
                </w:tcPr>
                <w:p w14:paraId="6CBBE238" w14:textId="77777777" w:rsidR="00AB760D" w:rsidRPr="00BB0353" w:rsidRDefault="00AB760D" w:rsidP="00196F20">
                  <w:pPr>
                    <w:pStyle w:val="Tabeltekst"/>
                    <w:jc w:val="right"/>
                  </w:pPr>
                  <w:r w:rsidRPr="00BB0353">
                    <w:rPr>
                      <w:b/>
                      <w:bCs/>
                    </w:rPr>
                    <w:t>Service for udenlandske virksomheder</w:t>
                  </w:r>
                  <w:r w:rsidRPr="00BB0353">
                    <w:t>: Der er aftalt en plan for implementeringen af en sammenhængende digital brugerrejse for udenlandske virksomheder, og de første tiltag er startet op.</w:t>
                  </w:r>
                </w:p>
                <w:p w14:paraId="40A16498" w14:textId="49416491" w:rsidR="00AB760D" w:rsidRPr="00E54AF3" w:rsidRDefault="00AB760D" w:rsidP="00AB760D">
                  <w:pPr>
                    <w:pStyle w:val="Tabeltal"/>
                  </w:pPr>
                </w:p>
              </w:tc>
              <w:tc>
                <w:tcPr>
                  <w:tcW w:w="2003" w:type="dxa"/>
                  <w:vAlign w:val="center"/>
                </w:tcPr>
                <w:p w14:paraId="0A9CFA3B" w14:textId="6D73FC2A" w:rsidR="00AB760D" w:rsidRPr="00E54AF3" w:rsidRDefault="00AB760D" w:rsidP="00AB760D">
                  <w:pPr>
                    <w:pStyle w:val="Tabeltal"/>
                  </w:pPr>
                  <w:r>
                    <w:t xml:space="preserve">… </w:t>
                  </w:r>
                  <w:r w:rsidRPr="00A44676">
                    <w:t>Styregruppen har godkendt implementeringsplanen for Service for udenlandske virksomheder og formelt igangsat de første tiltag.</w:t>
                  </w:r>
                </w:p>
              </w:tc>
              <w:tc>
                <w:tcPr>
                  <w:tcW w:w="2433" w:type="dxa"/>
                  <w:vAlign w:val="center"/>
                </w:tcPr>
                <w:p w14:paraId="44EEA939" w14:textId="6DD9DB25" w:rsidR="00AB760D" w:rsidRPr="00E54AF3" w:rsidRDefault="00B31897" w:rsidP="00AB760D">
                  <w:pPr>
                    <w:pStyle w:val="Tabeltal"/>
                  </w:pPr>
                  <w:r>
                    <w:t>Målet er o</w:t>
                  </w:r>
                  <w:r w:rsidR="00670F77">
                    <w:t>pfyldt.</w:t>
                  </w:r>
                  <w:r>
                    <w:t xml:space="preserve"> Arbejdet med implementeringen er fortsat i gang</w:t>
                  </w:r>
                  <w:r w:rsidR="00C429CF">
                    <w:t xml:space="preserve">. Det videre arbejde </w:t>
                  </w:r>
                  <w:r w:rsidR="00C429CF" w:rsidRPr="00C429CF">
                    <w:t>varetages af ERST jf. udspillet ”Mindre bureaukrati – mere vækst” (februar 2019) og det deraf følgende aktstykke</w:t>
                  </w:r>
                  <w:r>
                    <w:t>.</w:t>
                  </w:r>
                  <w:r w:rsidR="00670F77">
                    <w:t xml:space="preserve"> </w:t>
                  </w:r>
                </w:p>
              </w:tc>
            </w:tr>
            <w:tr w:rsidR="00196F20" w:rsidRPr="00E54AF3" w14:paraId="626601CD" w14:textId="77777777" w:rsidTr="00670F77">
              <w:trPr>
                <w:gridAfter w:val="1"/>
                <w:wAfter w:w="715" w:type="dxa"/>
                <w:trHeight w:val="271"/>
              </w:trPr>
              <w:tc>
                <w:tcPr>
                  <w:tcW w:w="1145" w:type="dxa"/>
                  <w:vMerge w:val="restart"/>
                  <w:textDirection w:val="btLr"/>
                  <w:vAlign w:val="center"/>
                </w:tcPr>
                <w:p w14:paraId="4BCB7567" w14:textId="4FD7600E" w:rsidR="00196F20" w:rsidRPr="00E54AF3" w:rsidRDefault="00196F20" w:rsidP="00196F20">
                  <w:pPr>
                    <w:pStyle w:val="Tabeltekst"/>
                    <w:ind w:left="113"/>
                    <w:jc w:val="center"/>
                  </w:pPr>
                  <w:r>
                    <w:t>Kvalitetsmål</w:t>
                  </w:r>
                </w:p>
              </w:tc>
              <w:tc>
                <w:tcPr>
                  <w:tcW w:w="2147" w:type="dxa"/>
                  <w:vAlign w:val="center"/>
                </w:tcPr>
                <w:p w14:paraId="5763E06F" w14:textId="4F68D1D9" w:rsidR="00196F20" w:rsidRPr="00E54AF3" w:rsidRDefault="00196F20" w:rsidP="00AB760D">
                  <w:pPr>
                    <w:pStyle w:val="Tabeltal"/>
                  </w:pPr>
                  <w:r w:rsidRPr="0018610D">
                    <w:t>80 pct. af borgerne, der har anvendt guiden for henholdsvis flytning og skilsmisse, føler sig hjulpet igennem deres brugerrejse.</w:t>
                  </w:r>
                </w:p>
              </w:tc>
              <w:tc>
                <w:tcPr>
                  <w:tcW w:w="2003" w:type="dxa"/>
                  <w:vAlign w:val="center"/>
                </w:tcPr>
                <w:p w14:paraId="2DA5F15F" w14:textId="61A7CF79" w:rsidR="00196F20" w:rsidRPr="00E54AF3" w:rsidRDefault="00196F20" w:rsidP="00AB760D">
                  <w:pPr>
                    <w:pStyle w:val="Tabeltal"/>
                  </w:pPr>
                  <w:r>
                    <w:t>-</w:t>
                  </w:r>
                </w:p>
              </w:tc>
              <w:tc>
                <w:tcPr>
                  <w:tcW w:w="2433" w:type="dxa"/>
                  <w:vAlign w:val="center"/>
                </w:tcPr>
                <w:p w14:paraId="093FC204" w14:textId="7F14D958" w:rsidR="00196F20" w:rsidRPr="00E54AF3" w:rsidRDefault="00196F20" w:rsidP="00AB760D">
                  <w:pPr>
                    <w:pStyle w:val="Tabeltal"/>
                  </w:pPr>
                  <w:r>
                    <w:t>Der måles vha. spørgeskema, der åbner ved besøg på de to guides på borger.dk</w:t>
                  </w:r>
                  <w:r w:rsidRPr="00A44676">
                    <w:t>.</w:t>
                  </w:r>
                  <w:r>
                    <w:t xml:space="preserve"> De første målinger af tilfredsheden (meget tilfreds/tilfreds med guiden samlet set), tre måneder efter implementeringen, viser hhv. 85,8 % for flytteguiden (92 besvarelser, 32.696 unikke besøgende) og 71,4 % for skilsmisseguiden (28 besvarelser, 15000 unikke besøgende). De respektive arbejdsgrupper på de to brugerrejser arbejder på den fortsatte udvikling af de to guides. Der følges op primo 2020, dvs. efter et år, i regi af styregruppen for digital kommunikation (Digitaliseringspagten).</w:t>
                  </w:r>
                </w:p>
              </w:tc>
            </w:tr>
            <w:tr w:rsidR="00196F20" w:rsidRPr="00E54AF3" w14:paraId="76EC2E11" w14:textId="77777777" w:rsidTr="00670F77">
              <w:trPr>
                <w:trHeight w:val="271"/>
              </w:trPr>
              <w:tc>
                <w:tcPr>
                  <w:tcW w:w="1145" w:type="dxa"/>
                  <w:vMerge/>
                  <w:vAlign w:val="center"/>
                </w:tcPr>
                <w:p w14:paraId="4111B9F1" w14:textId="2EB37A5D" w:rsidR="00196F20" w:rsidRPr="00E54AF3" w:rsidRDefault="00196F20" w:rsidP="00AB760D">
                  <w:pPr>
                    <w:pStyle w:val="Tabeltekst"/>
                  </w:pPr>
                </w:p>
              </w:tc>
              <w:tc>
                <w:tcPr>
                  <w:tcW w:w="2147" w:type="dxa"/>
                  <w:vAlign w:val="center"/>
                </w:tcPr>
                <w:p w14:paraId="601727E4" w14:textId="0D719781" w:rsidR="00196F20" w:rsidRPr="00E54AF3" w:rsidRDefault="00196F20" w:rsidP="00AB760D">
                  <w:pPr>
                    <w:pStyle w:val="Tabeltal"/>
                  </w:pPr>
                  <w:r w:rsidRPr="0018610D">
                    <w:t>80 pct. af virksomhederne, der har anvendt guiden for henholdsvis start og luk virksomhed, føler sig godt hjulpet igennem deres brugerrejse.</w:t>
                  </w:r>
                </w:p>
              </w:tc>
              <w:tc>
                <w:tcPr>
                  <w:tcW w:w="2003" w:type="dxa"/>
                  <w:vAlign w:val="center"/>
                </w:tcPr>
                <w:p w14:paraId="736251C2" w14:textId="480AC689" w:rsidR="00196F20" w:rsidRPr="00E54AF3" w:rsidRDefault="00196F20" w:rsidP="00B31897">
                  <w:pPr>
                    <w:pStyle w:val="Tabeltal"/>
                  </w:pPr>
                  <w:r>
                    <w:t xml:space="preserve">Der måles vha. spørgeskema, der åbner ved besøg på guiden på </w:t>
                  </w:r>
                  <w:r w:rsidR="00B31897">
                    <w:t>virk</w:t>
                  </w:r>
                  <w:r w:rsidRPr="00A44676">
                    <w:t>.</w:t>
                  </w:r>
                </w:p>
              </w:tc>
              <w:tc>
                <w:tcPr>
                  <w:tcW w:w="2433" w:type="dxa"/>
                  <w:vAlign w:val="center"/>
                </w:tcPr>
                <w:p w14:paraId="7C2623AA" w14:textId="5DE3144E" w:rsidR="00196F20" w:rsidRPr="00E54AF3" w:rsidRDefault="00196F20" w:rsidP="00AB760D">
                  <w:pPr>
                    <w:pStyle w:val="Tabeltal"/>
                  </w:pPr>
                  <w:r>
                    <w:t>Erhvervsstyrelsen arbejder på realiseringen. Der følges op i regi af ”Mindre bureaukrati – mere vækst”, jf. ovenfor.</w:t>
                  </w:r>
                </w:p>
              </w:tc>
              <w:tc>
                <w:tcPr>
                  <w:tcW w:w="715" w:type="dxa"/>
                  <w:vAlign w:val="center"/>
                </w:tcPr>
                <w:p w14:paraId="1DE769F4" w14:textId="2EAA856B" w:rsidR="00196F20" w:rsidRPr="00E54AF3" w:rsidRDefault="00196F20" w:rsidP="00AB760D">
                  <w:pPr>
                    <w:pStyle w:val="Tabeltal"/>
                  </w:pPr>
                </w:p>
              </w:tc>
            </w:tr>
            <w:tr w:rsidR="00AB760D" w:rsidRPr="00E54AF3" w14:paraId="6B02D072" w14:textId="77777777" w:rsidTr="00670F77">
              <w:trPr>
                <w:cantSplit/>
                <w:trHeight w:val="1131"/>
              </w:trPr>
              <w:tc>
                <w:tcPr>
                  <w:tcW w:w="1145" w:type="dxa"/>
                  <w:textDirection w:val="btLr"/>
                  <w:vAlign w:val="center"/>
                </w:tcPr>
                <w:p w14:paraId="355D4BF0" w14:textId="3DFA523B" w:rsidR="00AB760D" w:rsidRPr="00E54AF3" w:rsidRDefault="00196F20" w:rsidP="00196F20">
                  <w:pPr>
                    <w:pStyle w:val="Tabeltekst"/>
                    <w:ind w:left="113"/>
                    <w:jc w:val="center"/>
                  </w:pPr>
                  <w:r>
                    <w:t>Effektmål</w:t>
                  </w:r>
                </w:p>
              </w:tc>
              <w:tc>
                <w:tcPr>
                  <w:tcW w:w="2147" w:type="dxa"/>
                  <w:vAlign w:val="center"/>
                </w:tcPr>
                <w:p w14:paraId="5736F5EA" w14:textId="018241BF" w:rsidR="00AB760D" w:rsidRPr="00E54AF3" w:rsidRDefault="00AB760D" w:rsidP="00AB760D">
                  <w:pPr>
                    <w:pStyle w:val="Tabeltal"/>
                  </w:pPr>
                  <w:r w:rsidRPr="00DC134E">
                    <w:t>Antallet af unge mellem 15 og 17 år, der ikke har været logget ind senest seks måneder efter at have modtaget digital post skal ultimo 2019 være faldet med minimum 5 procentpoint.</w:t>
                  </w:r>
                </w:p>
              </w:tc>
              <w:tc>
                <w:tcPr>
                  <w:tcW w:w="2003" w:type="dxa"/>
                  <w:vAlign w:val="center"/>
                </w:tcPr>
                <w:p w14:paraId="7284EB48" w14:textId="28E61322" w:rsidR="00AB760D" w:rsidRPr="00E54AF3" w:rsidRDefault="00AB760D" w:rsidP="00AB760D">
                  <w:pPr>
                    <w:pStyle w:val="Tabeltal"/>
                  </w:pPr>
                  <w:r>
                    <w:t>-</w:t>
                  </w:r>
                </w:p>
              </w:tc>
              <w:tc>
                <w:tcPr>
                  <w:tcW w:w="2433" w:type="dxa"/>
                  <w:vAlign w:val="center"/>
                </w:tcPr>
                <w:p w14:paraId="6AB6B876" w14:textId="6B8EE09B" w:rsidR="00AB760D" w:rsidRPr="00E54AF3" w:rsidRDefault="00AB760D" w:rsidP="00AB760D">
                  <w:pPr>
                    <w:pStyle w:val="Tabeltal"/>
                  </w:pPr>
                  <w:r>
                    <w:t>Implementeringen blev (pga. behov for ekstra brugertest og tekniske udfordringer med udsendesen af brevet til de unge) udskudt fra ultimo 2018 til medio 2019, hvorfor måletidspunktet er udskudt tilsvarende, dvs. til medio 2020. Der følges op i regi af styregruppen for digital kommunikation (Digitaliseringspagten).</w:t>
                  </w:r>
                </w:p>
              </w:tc>
              <w:tc>
                <w:tcPr>
                  <w:tcW w:w="715" w:type="dxa"/>
                  <w:vAlign w:val="center"/>
                </w:tcPr>
                <w:p w14:paraId="7043266F" w14:textId="7E02945B" w:rsidR="00AB760D" w:rsidRPr="00E54AF3" w:rsidRDefault="00AB760D" w:rsidP="00AB760D">
                  <w:pPr>
                    <w:pStyle w:val="Tabeltal"/>
                  </w:pPr>
                </w:p>
              </w:tc>
            </w:tr>
          </w:tbl>
          <w:p w14:paraId="7E600869" w14:textId="77777777" w:rsidR="00BB0353" w:rsidRPr="00DA313C" w:rsidRDefault="00BB0353" w:rsidP="00EE3E6B">
            <w:pPr>
              <w:pStyle w:val="Pladsholdertxtfelt"/>
              <w:rPr>
                <w:noProof/>
              </w:rPr>
            </w:pPr>
          </w:p>
        </w:tc>
      </w:tr>
      <w:tr w:rsidR="00BB0353" w:rsidRPr="00DA313C" w14:paraId="10D33BF7" w14:textId="77777777" w:rsidTr="00670F77">
        <w:trPr>
          <w:trHeight w:hRule="exact" w:val="84"/>
        </w:trPr>
        <w:tc>
          <w:tcPr>
            <w:tcW w:w="7730" w:type="dxa"/>
            <w:tcBorders>
              <w:bottom w:val="nil"/>
            </w:tcBorders>
            <w:shd w:val="clear" w:color="auto" w:fill="auto"/>
            <w:tcMar>
              <w:bottom w:w="0" w:type="dxa"/>
            </w:tcMar>
          </w:tcPr>
          <w:p w14:paraId="4DAA1422" w14:textId="77777777" w:rsidR="00BB0353" w:rsidRPr="00DA313C" w:rsidRDefault="00BB0353" w:rsidP="00EE3E6B">
            <w:pPr>
              <w:pStyle w:val="Kildeangivelse"/>
              <w:rPr>
                <w:noProof/>
              </w:rPr>
            </w:pPr>
          </w:p>
        </w:tc>
      </w:tr>
      <w:tr w:rsidR="00BB0353" w:rsidRPr="00DA313C" w14:paraId="20FAB22C" w14:textId="77777777" w:rsidTr="00670F77">
        <w:trPr>
          <w:trHeight w:val="339"/>
        </w:trPr>
        <w:tc>
          <w:tcPr>
            <w:tcW w:w="7730" w:type="dxa"/>
            <w:tcBorders>
              <w:top w:val="nil"/>
              <w:bottom w:val="nil"/>
            </w:tcBorders>
            <w:shd w:val="clear" w:color="auto" w:fill="auto"/>
            <w:tcMar>
              <w:bottom w:w="0" w:type="dxa"/>
            </w:tcMar>
          </w:tcPr>
          <w:p w14:paraId="09691FEE" w14:textId="4AEBA91A" w:rsidR="00BB0353" w:rsidRPr="00DA313C" w:rsidRDefault="00196F20" w:rsidP="00670F77">
            <w:pPr>
              <w:pStyle w:val="Kildeangivelse"/>
              <w:rPr>
                <w:noProof/>
              </w:rPr>
            </w:pPr>
            <w:r>
              <w:rPr>
                <w:noProof/>
              </w:rPr>
              <w:t xml:space="preserve">Anm.: Godkendt af porteføljestyregruppen i september 2019. </w:t>
            </w:r>
          </w:p>
        </w:tc>
      </w:tr>
    </w:tbl>
    <w:bookmarkEnd w:id="3"/>
    <w:p w14:paraId="299E9E9A" w14:textId="36925C18" w:rsidR="008C7EAD" w:rsidRDefault="00C918FD" w:rsidP="00171022">
      <w:pPr>
        <w:pStyle w:val="Overskrift2"/>
      </w:pPr>
      <w:r>
        <w:lastRenderedPageBreak/>
        <w:t>Økonomi</w:t>
      </w:r>
      <w:r w:rsidR="00DE4168">
        <w:tab/>
      </w:r>
    </w:p>
    <w:p w14:paraId="76037E49" w14:textId="4DF3B3F0" w:rsidR="001E4FF1" w:rsidRPr="00BE693A" w:rsidRDefault="001E70CA" w:rsidP="001E4FF1">
      <w:r>
        <w:t xml:space="preserve">Initiativet er finansieret af FODS-midler afsat til hele perioden 2016-2020. Der har </w:t>
      </w:r>
      <w:r w:rsidR="00DF14AB">
        <w:t xml:space="preserve">været mindreforbrug i </w:t>
      </w:r>
      <w:r>
        <w:t>både 2016, 2017 og 2018, ligesom budgettet er nedskrevet for 2019.</w:t>
      </w:r>
      <w:r w:rsidR="00DF14AB">
        <w:t xml:space="preserve"> Mindreforbruget skyldes</w:t>
      </w:r>
      <w:r w:rsidR="00213DF8">
        <w:t xml:space="preserve"> flere forhold, særligt 1)</w:t>
      </w:r>
      <w:r w:rsidR="009C6604">
        <w:t xml:space="preserve"> at</w:t>
      </w:r>
      <w:r>
        <w:t xml:space="preserve"> </w:t>
      </w:r>
      <w:r w:rsidR="0057061C">
        <w:t xml:space="preserve">der alene har været behov for </w:t>
      </w:r>
      <w:r w:rsidR="00213DF8">
        <w:t xml:space="preserve">finansieringen </w:t>
      </w:r>
      <w:r w:rsidR="0057061C">
        <w:t>af</w:t>
      </w:r>
      <w:r w:rsidR="00663A83">
        <w:t xml:space="preserve"> </w:t>
      </w:r>
      <w:r w:rsidR="00DF14AB">
        <w:t>konsulenttimer til analyse og brugertest</w:t>
      </w:r>
      <w:r w:rsidR="00213DF8">
        <w:t>, og</w:t>
      </w:r>
      <w:r w:rsidR="009C6604">
        <w:t xml:space="preserve"> at</w:t>
      </w:r>
      <w:r w:rsidR="00213DF8">
        <w:t xml:space="preserve"> dette arbejde har vist sig mere tidskrævende end først antaget, </w:t>
      </w:r>
      <w:r w:rsidR="00DF14AB">
        <w:t xml:space="preserve">og </w:t>
      </w:r>
      <w:r w:rsidR="00213DF8">
        <w:t xml:space="preserve">2) </w:t>
      </w:r>
      <w:r w:rsidR="009C6604">
        <w:t xml:space="preserve">at </w:t>
      </w:r>
      <w:r w:rsidR="00213DF8">
        <w:t xml:space="preserve">ingen </w:t>
      </w:r>
      <w:r w:rsidR="00DF14AB">
        <w:t>mindre tilpasninger hos myndighederne</w:t>
      </w:r>
      <w:r w:rsidR="00213DF8">
        <w:t xml:space="preserve"> </w:t>
      </w:r>
      <w:r w:rsidR="009C6604">
        <w:t>har skullet finansieres</w:t>
      </w:r>
      <w:r w:rsidR="00213DF8">
        <w:t>, dels fordi</w:t>
      </w:r>
      <w:r w:rsidR="00DF14AB">
        <w:t xml:space="preserve"> </w:t>
      </w:r>
      <w:r w:rsidR="00213DF8">
        <w:t xml:space="preserve">det har </w:t>
      </w:r>
      <w:r w:rsidR="00DF14AB">
        <w:t xml:space="preserve">vist sig </w:t>
      </w:r>
      <w:r w:rsidR="00213DF8">
        <w:t>vanskeligt at igangsætte lokale indsatser, dels fordi de enkelte lokale indsatser, som er blevet gennemført, er blevet finansieret af myndighederne selv</w:t>
      </w:r>
      <w:r w:rsidR="00DF14AB">
        <w:t xml:space="preserve">. </w:t>
      </w:r>
      <w:r w:rsidR="0067064C">
        <w:t xml:space="preserve">For 2020 erstattes finansieringen af det i regi af digitaliseringspagten aftalte. </w:t>
      </w:r>
    </w:p>
    <w:p w14:paraId="16E9BEDD" w14:textId="4BA3EC98" w:rsidR="001E4FF1" w:rsidRPr="00BE693A" w:rsidRDefault="001E4FF1" w:rsidP="001E4FF1">
      <w:pPr>
        <w:rPr>
          <w:highlight w:val="lightGray"/>
        </w:rPr>
      </w:pPr>
    </w:p>
    <w:sectPr w:rsidR="001E4FF1" w:rsidRPr="00BE693A" w:rsidSect="009E377C">
      <w:headerReference w:type="default" r:id="rId8"/>
      <w:headerReference w:type="first" r:id="rId9"/>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AB2B" w14:textId="77777777" w:rsidR="00536877" w:rsidRDefault="00536877">
      <w:r>
        <w:separator/>
      </w:r>
    </w:p>
  </w:endnote>
  <w:endnote w:type="continuationSeparator" w:id="0">
    <w:p w14:paraId="5285A753" w14:textId="77777777" w:rsidR="00536877" w:rsidRDefault="0053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46DBB" w14:textId="77777777" w:rsidR="00536877" w:rsidRDefault="00536877">
      <w:r>
        <w:separator/>
      </w:r>
    </w:p>
  </w:footnote>
  <w:footnote w:type="continuationSeparator" w:id="0">
    <w:p w14:paraId="775CC814" w14:textId="77777777" w:rsidR="00536877" w:rsidRDefault="0053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2DD2" w14:textId="5A587FD4" w:rsidR="004C0106" w:rsidRPr="00433F79" w:rsidRDefault="004C0106" w:rsidP="00F3309D">
    <w:pPr>
      <w:pStyle w:val="Sidehoved"/>
      <w:tabs>
        <w:tab w:val="clear" w:pos="4819"/>
        <w:tab w:val="clear" w:pos="9638"/>
        <w:tab w:val="left" w:pos="8051"/>
      </w:tabs>
      <w:rPr>
        <w:rStyle w:val="Sidetal"/>
      </w:rPr>
    </w:pPr>
    <w:r>
      <w:tab/>
      <w:t xml:space="preserve"> </w:t>
    </w:r>
    <w:bookmarkStart w:id="5" w:name="SD_FLD_Page"/>
    <w:r w:rsidRPr="00433F79">
      <w:rPr>
        <w:rStyle w:val="Sidetal"/>
      </w:rPr>
      <w:t>Side</w:t>
    </w:r>
    <w:bookmarkEnd w:id="5"/>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CB0513">
      <w:rPr>
        <w:rStyle w:val="Sidetal"/>
        <w:noProof/>
      </w:rPr>
      <w:t>4</w:t>
    </w:r>
    <w:r w:rsidRPr="00433F79">
      <w:rPr>
        <w:rStyle w:val="Sidetal"/>
      </w:rPr>
      <w:fldChar w:fldCharType="end"/>
    </w:r>
    <w:r w:rsidRPr="00433F79">
      <w:rPr>
        <w:rStyle w:val="Sidetal"/>
      </w:rPr>
      <w:t xml:space="preserve"> </w:t>
    </w:r>
    <w:bookmarkStart w:id="6" w:name="SD_LAN_Of"/>
    <w:r>
      <w:rPr>
        <w:rStyle w:val="Sidetal"/>
      </w:rPr>
      <w:t>af</w:t>
    </w:r>
    <w:bookmarkEnd w:id="6"/>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CB0513">
      <w:rPr>
        <w:rStyle w:val="Sidetal"/>
        <w:noProof/>
      </w:rPr>
      <w:t>6</w:t>
    </w:r>
    <w:r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6743" w14:textId="77777777" w:rsidR="004C0106" w:rsidRDefault="004C0106" w:rsidP="00703C50">
    <w:pPr>
      <w:pStyle w:val="Sidehoved"/>
    </w:pPr>
  </w:p>
  <w:p w14:paraId="101537CE" w14:textId="77777777" w:rsidR="004C0106" w:rsidRDefault="004C010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F38B14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C722D68E"/>
    <w:lvl w:ilvl="0">
      <w:start w:val="1"/>
      <w:numFmt w:val="decimal"/>
      <w:pStyle w:val="Opstilling-talellerbog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3116DD"/>
    <w:multiLevelType w:val="multilevel"/>
    <w:tmpl w:val="E48A1EB0"/>
    <w:lvl w:ilvl="0">
      <w:start w:val="1"/>
      <w:numFmt w:val="bullet"/>
      <w:pStyle w:val="Opstilling-punkttegn"/>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15:restartNumberingAfterBreak="0">
    <w:nsid w:val="2A68235D"/>
    <w:multiLevelType w:val="hybridMultilevel"/>
    <w:tmpl w:val="E3A4AF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9401899"/>
    <w:multiLevelType w:val="hybridMultilevel"/>
    <w:tmpl w:val="BA72213C"/>
    <w:lvl w:ilvl="0" w:tplc="711814B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58395326"/>
    <w:multiLevelType w:val="hybridMultilevel"/>
    <w:tmpl w:val="BED21572"/>
    <w:lvl w:ilvl="0" w:tplc="2D60476E">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8" w15:restartNumberingAfterBreak="0">
    <w:nsid w:val="5C3C2378"/>
    <w:multiLevelType w:val="hybridMultilevel"/>
    <w:tmpl w:val="762E5D14"/>
    <w:lvl w:ilvl="0" w:tplc="52FAA002">
      <w:start w:val="2"/>
      <w:numFmt w:val="decimal"/>
      <w:pStyle w:val="Listeafsnit"/>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0" w15:restartNumberingAfterBreak="0">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1" w15:restartNumberingAfterBreak="0">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num w:numId="1">
    <w:abstractNumId w:val="16"/>
  </w:num>
  <w:num w:numId="2">
    <w:abstractNumId w:val="11"/>
  </w:num>
  <w:num w:numId="3">
    <w:abstractNumId w:val="14"/>
  </w:num>
  <w:num w:numId="4">
    <w:abstractNumId w:val="9"/>
  </w:num>
  <w:num w:numId="5">
    <w:abstractNumId w:val="19"/>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10"/>
  </w:num>
  <w:num w:numId="16">
    <w:abstractNumId w:val="21"/>
  </w:num>
  <w:num w:numId="17">
    <w:abstractNumId w:val="20"/>
  </w:num>
  <w:num w:numId="18">
    <w:abstractNumId w:val="9"/>
  </w:num>
  <w:num w:numId="19">
    <w:abstractNumId w:val="19"/>
  </w:num>
  <w:num w:numId="20">
    <w:abstractNumId w:val="12"/>
  </w:num>
  <w:num w:numId="21">
    <w:abstractNumId w:val="10"/>
  </w:num>
  <w:num w:numId="22">
    <w:abstractNumId w:val="17"/>
  </w:num>
  <w:num w:numId="23">
    <w:abstractNumId w:val="13"/>
  </w:num>
  <w:num w:numId="24">
    <w:abstractNumId w:val="15"/>
  </w:num>
  <w:num w:numId="25">
    <w:abstractNumId w:val="18"/>
  </w:num>
  <w:num w:numId="26">
    <w:abstractNumId w:val="18"/>
  </w:num>
  <w:num w:numId="27">
    <w:abstractNumId w:val="18"/>
    <w:lvlOverride w:ilvl="0">
      <w:startOverride w:val="3"/>
    </w:lvlOverride>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D1"/>
    <w:rsid w:val="000035B8"/>
    <w:rsid w:val="00007ACD"/>
    <w:rsid w:val="0001466A"/>
    <w:rsid w:val="00017AB4"/>
    <w:rsid w:val="00022F36"/>
    <w:rsid w:val="000250D6"/>
    <w:rsid w:val="00025355"/>
    <w:rsid w:val="00026606"/>
    <w:rsid w:val="00036862"/>
    <w:rsid w:val="000421D4"/>
    <w:rsid w:val="00051A09"/>
    <w:rsid w:val="000565AB"/>
    <w:rsid w:val="00061CF6"/>
    <w:rsid w:val="00066058"/>
    <w:rsid w:val="00067296"/>
    <w:rsid w:val="000769DC"/>
    <w:rsid w:val="00080017"/>
    <w:rsid w:val="0008749C"/>
    <w:rsid w:val="000A5A76"/>
    <w:rsid w:val="000B0DAA"/>
    <w:rsid w:val="000B1600"/>
    <w:rsid w:val="000B16C7"/>
    <w:rsid w:val="000B75AA"/>
    <w:rsid w:val="000B77B0"/>
    <w:rsid w:val="000D6E63"/>
    <w:rsid w:val="000D7456"/>
    <w:rsid w:val="000F05E1"/>
    <w:rsid w:val="000F09EC"/>
    <w:rsid w:val="000F15FA"/>
    <w:rsid w:val="000F2BF3"/>
    <w:rsid w:val="00101552"/>
    <w:rsid w:val="00102EB8"/>
    <w:rsid w:val="00107B13"/>
    <w:rsid w:val="00107E00"/>
    <w:rsid w:val="001105C6"/>
    <w:rsid w:val="00114D87"/>
    <w:rsid w:val="0012489C"/>
    <w:rsid w:val="00136765"/>
    <w:rsid w:val="00153477"/>
    <w:rsid w:val="00153566"/>
    <w:rsid w:val="00154621"/>
    <w:rsid w:val="00155BF2"/>
    <w:rsid w:val="00161934"/>
    <w:rsid w:val="00161CC7"/>
    <w:rsid w:val="001642D9"/>
    <w:rsid w:val="00171022"/>
    <w:rsid w:val="00180B5E"/>
    <w:rsid w:val="0018339D"/>
    <w:rsid w:val="001836CB"/>
    <w:rsid w:val="0018610D"/>
    <w:rsid w:val="00186F7F"/>
    <w:rsid w:val="0019217D"/>
    <w:rsid w:val="00192812"/>
    <w:rsid w:val="00196F20"/>
    <w:rsid w:val="001A5DCF"/>
    <w:rsid w:val="001A6137"/>
    <w:rsid w:val="001B007C"/>
    <w:rsid w:val="001B1D88"/>
    <w:rsid w:val="001B420F"/>
    <w:rsid w:val="001C081F"/>
    <w:rsid w:val="001C4B5D"/>
    <w:rsid w:val="001D560A"/>
    <w:rsid w:val="001E4FF1"/>
    <w:rsid w:val="001E70CA"/>
    <w:rsid w:val="001F3024"/>
    <w:rsid w:val="001F4299"/>
    <w:rsid w:val="00211AB6"/>
    <w:rsid w:val="00213DF8"/>
    <w:rsid w:val="00216BE3"/>
    <w:rsid w:val="00216CE2"/>
    <w:rsid w:val="00216F56"/>
    <w:rsid w:val="002171DE"/>
    <w:rsid w:val="00217E5B"/>
    <w:rsid w:val="00227FFC"/>
    <w:rsid w:val="00234EF4"/>
    <w:rsid w:val="0024217B"/>
    <w:rsid w:val="0024430C"/>
    <w:rsid w:val="0024456B"/>
    <w:rsid w:val="0026669E"/>
    <w:rsid w:val="002672F6"/>
    <w:rsid w:val="00270979"/>
    <w:rsid w:val="00270BA3"/>
    <w:rsid w:val="00281868"/>
    <w:rsid w:val="00283782"/>
    <w:rsid w:val="00283D2D"/>
    <w:rsid w:val="002905B4"/>
    <w:rsid w:val="002915CF"/>
    <w:rsid w:val="00297E3C"/>
    <w:rsid w:val="002A2BF7"/>
    <w:rsid w:val="002A4BC7"/>
    <w:rsid w:val="002C569E"/>
    <w:rsid w:val="002E326D"/>
    <w:rsid w:val="002F0EE7"/>
    <w:rsid w:val="002F2D9E"/>
    <w:rsid w:val="002F5B9A"/>
    <w:rsid w:val="002F65B1"/>
    <w:rsid w:val="00330F2B"/>
    <w:rsid w:val="00331E55"/>
    <w:rsid w:val="003406D1"/>
    <w:rsid w:val="003509B2"/>
    <w:rsid w:val="00350F46"/>
    <w:rsid w:val="003707CC"/>
    <w:rsid w:val="003870CD"/>
    <w:rsid w:val="00387A9B"/>
    <w:rsid w:val="00392770"/>
    <w:rsid w:val="003957AB"/>
    <w:rsid w:val="003A2487"/>
    <w:rsid w:val="003A4BFC"/>
    <w:rsid w:val="003A7C5E"/>
    <w:rsid w:val="003B2A15"/>
    <w:rsid w:val="003B5CAC"/>
    <w:rsid w:val="003C00FA"/>
    <w:rsid w:val="003C1E6E"/>
    <w:rsid w:val="003C7DF1"/>
    <w:rsid w:val="003E6170"/>
    <w:rsid w:val="003F0413"/>
    <w:rsid w:val="003F7E2E"/>
    <w:rsid w:val="00406A77"/>
    <w:rsid w:val="00411E02"/>
    <w:rsid w:val="00420C65"/>
    <w:rsid w:val="00425EC2"/>
    <w:rsid w:val="0043074C"/>
    <w:rsid w:val="00435293"/>
    <w:rsid w:val="004357F5"/>
    <w:rsid w:val="0045008B"/>
    <w:rsid w:val="004526D5"/>
    <w:rsid w:val="004661DB"/>
    <w:rsid w:val="004717F5"/>
    <w:rsid w:val="0047193E"/>
    <w:rsid w:val="00483C3B"/>
    <w:rsid w:val="00493EAD"/>
    <w:rsid w:val="004A05E8"/>
    <w:rsid w:val="004A3D20"/>
    <w:rsid w:val="004B18A6"/>
    <w:rsid w:val="004B60F6"/>
    <w:rsid w:val="004C0106"/>
    <w:rsid w:val="004C12B1"/>
    <w:rsid w:val="004C29DF"/>
    <w:rsid w:val="004C3BD5"/>
    <w:rsid w:val="004C762D"/>
    <w:rsid w:val="004E0942"/>
    <w:rsid w:val="004F3082"/>
    <w:rsid w:val="004F4871"/>
    <w:rsid w:val="004F7D7F"/>
    <w:rsid w:val="005001B3"/>
    <w:rsid w:val="00504494"/>
    <w:rsid w:val="0050453A"/>
    <w:rsid w:val="005140EA"/>
    <w:rsid w:val="005163DE"/>
    <w:rsid w:val="0052131E"/>
    <w:rsid w:val="00523C5B"/>
    <w:rsid w:val="005344FC"/>
    <w:rsid w:val="00536877"/>
    <w:rsid w:val="00545F55"/>
    <w:rsid w:val="00553194"/>
    <w:rsid w:val="00564020"/>
    <w:rsid w:val="00564F3D"/>
    <w:rsid w:val="0057061C"/>
    <w:rsid w:val="00570BB3"/>
    <w:rsid w:val="00576C37"/>
    <w:rsid w:val="005802EE"/>
    <w:rsid w:val="00584378"/>
    <w:rsid w:val="00594DE6"/>
    <w:rsid w:val="005A0090"/>
    <w:rsid w:val="005A28E0"/>
    <w:rsid w:val="005B5A82"/>
    <w:rsid w:val="005C32DE"/>
    <w:rsid w:val="005D1B36"/>
    <w:rsid w:val="005E3E22"/>
    <w:rsid w:val="005E6CB9"/>
    <w:rsid w:val="005F3B53"/>
    <w:rsid w:val="00605C5C"/>
    <w:rsid w:val="00620BFF"/>
    <w:rsid w:val="00620DCC"/>
    <w:rsid w:val="00640ECC"/>
    <w:rsid w:val="006428FE"/>
    <w:rsid w:val="006465AD"/>
    <w:rsid w:val="00662654"/>
    <w:rsid w:val="00663A83"/>
    <w:rsid w:val="00665769"/>
    <w:rsid w:val="0067064C"/>
    <w:rsid w:val="00670F77"/>
    <w:rsid w:val="00675491"/>
    <w:rsid w:val="006767BF"/>
    <w:rsid w:val="00690C8C"/>
    <w:rsid w:val="0069417B"/>
    <w:rsid w:val="006948B9"/>
    <w:rsid w:val="00694D75"/>
    <w:rsid w:val="00697AE6"/>
    <w:rsid w:val="006A4F3F"/>
    <w:rsid w:val="006D1B83"/>
    <w:rsid w:val="006D28FF"/>
    <w:rsid w:val="006D5EC7"/>
    <w:rsid w:val="006E60C1"/>
    <w:rsid w:val="006E694D"/>
    <w:rsid w:val="006F0FDC"/>
    <w:rsid w:val="006F78E0"/>
    <w:rsid w:val="00702A50"/>
    <w:rsid w:val="00703C50"/>
    <w:rsid w:val="0070564C"/>
    <w:rsid w:val="007070AC"/>
    <w:rsid w:val="00711522"/>
    <w:rsid w:val="007128F0"/>
    <w:rsid w:val="00722C5A"/>
    <w:rsid w:val="007240BF"/>
    <w:rsid w:val="007258C9"/>
    <w:rsid w:val="0073089C"/>
    <w:rsid w:val="00730988"/>
    <w:rsid w:val="007317FB"/>
    <w:rsid w:val="00735130"/>
    <w:rsid w:val="007357C8"/>
    <w:rsid w:val="00736658"/>
    <w:rsid w:val="00742060"/>
    <w:rsid w:val="007422E6"/>
    <w:rsid w:val="00751A9F"/>
    <w:rsid w:val="007558AC"/>
    <w:rsid w:val="00757790"/>
    <w:rsid w:val="00775C4B"/>
    <w:rsid w:val="00781CF5"/>
    <w:rsid w:val="007879D7"/>
    <w:rsid w:val="00794A97"/>
    <w:rsid w:val="007955B4"/>
    <w:rsid w:val="007B1E75"/>
    <w:rsid w:val="007B2216"/>
    <w:rsid w:val="007B459A"/>
    <w:rsid w:val="007C0A94"/>
    <w:rsid w:val="007C1E8D"/>
    <w:rsid w:val="007C2199"/>
    <w:rsid w:val="007C3256"/>
    <w:rsid w:val="007F0778"/>
    <w:rsid w:val="007F382F"/>
    <w:rsid w:val="007F7548"/>
    <w:rsid w:val="008013B9"/>
    <w:rsid w:val="00810F06"/>
    <w:rsid w:val="00811B91"/>
    <w:rsid w:val="00812F86"/>
    <w:rsid w:val="008208BC"/>
    <w:rsid w:val="00825415"/>
    <w:rsid w:val="008266CC"/>
    <w:rsid w:val="00827399"/>
    <w:rsid w:val="00832E2F"/>
    <w:rsid w:val="00833F8D"/>
    <w:rsid w:val="00841F21"/>
    <w:rsid w:val="008425C1"/>
    <w:rsid w:val="00842F32"/>
    <w:rsid w:val="00843D18"/>
    <w:rsid w:val="008458AA"/>
    <w:rsid w:val="00850EB5"/>
    <w:rsid w:val="008511A5"/>
    <w:rsid w:val="0085337D"/>
    <w:rsid w:val="0085744B"/>
    <w:rsid w:val="008615FC"/>
    <w:rsid w:val="008632C9"/>
    <w:rsid w:val="00863559"/>
    <w:rsid w:val="00872B11"/>
    <w:rsid w:val="00876487"/>
    <w:rsid w:val="00876574"/>
    <w:rsid w:val="0088794B"/>
    <w:rsid w:val="0089323C"/>
    <w:rsid w:val="00893755"/>
    <w:rsid w:val="008A0687"/>
    <w:rsid w:val="008A0729"/>
    <w:rsid w:val="008A6101"/>
    <w:rsid w:val="008B33B1"/>
    <w:rsid w:val="008B3B52"/>
    <w:rsid w:val="008B4A57"/>
    <w:rsid w:val="008B7B02"/>
    <w:rsid w:val="008C7EAD"/>
    <w:rsid w:val="008D0573"/>
    <w:rsid w:val="008D1A60"/>
    <w:rsid w:val="008D21AE"/>
    <w:rsid w:val="008D5495"/>
    <w:rsid w:val="008D7BCB"/>
    <w:rsid w:val="008D7E07"/>
    <w:rsid w:val="008E3254"/>
    <w:rsid w:val="008F0FE1"/>
    <w:rsid w:val="008F1CCF"/>
    <w:rsid w:val="00901B71"/>
    <w:rsid w:val="00905D89"/>
    <w:rsid w:val="00930E78"/>
    <w:rsid w:val="0093235B"/>
    <w:rsid w:val="00946A30"/>
    <w:rsid w:val="009508BA"/>
    <w:rsid w:val="00952765"/>
    <w:rsid w:val="00956D8A"/>
    <w:rsid w:val="00966F8F"/>
    <w:rsid w:val="00970441"/>
    <w:rsid w:val="00971AA9"/>
    <w:rsid w:val="009859A7"/>
    <w:rsid w:val="00985C7E"/>
    <w:rsid w:val="009911AD"/>
    <w:rsid w:val="0099271F"/>
    <w:rsid w:val="009A06B6"/>
    <w:rsid w:val="009A06D8"/>
    <w:rsid w:val="009A167D"/>
    <w:rsid w:val="009A2259"/>
    <w:rsid w:val="009B1328"/>
    <w:rsid w:val="009B5150"/>
    <w:rsid w:val="009B5DA5"/>
    <w:rsid w:val="009B7C02"/>
    <w:rsid w:val="009C28EF"/>
    <w:rsid w:val="009C388B"/>
    <w:rsid w:val="009C3A4A"/>
    <w:rsid w:val="009C6009"/>
    <w:rsid w:val="009C6604"/>
    <w:rsid w:val="009D3340"/>
    <w:rsid w:val="009E163A"/>
    <w:rsid w:val="009E377C"/>
    <w:rsid w:val="009E409C"/>
    <w:rsid w:val="009F170A"/>
    <w:rsid w:val="009F2095"/>
    <w:rsid w:val="009F27A2"/>
    <w:rsid w:val="009F3067"/>
    <w:rsid w:val="009F32AD"/>
    <w:rsid w:val="00A059FC"/>
    <w:rsid w:val="00A1119C"/>
    <w:rsid w:val="00A24BB9"/>
    <w:rsid w:val="00A26662"/>
    <w:rsid w:val="00A27A44"/>
    <w:rsid w:val="00A30CBD"/>
    <w:rsid w:val="00A42BEC"/>
    <w:rsid w:val="00A44676"/>
    <w:rsid w:val="00A44BFB"/>
    <w:rsid w:val="00A461AC"/>
    <w:rsid w:val="00A556F2"/>
    <w:rsid w:val="00A575C5"/>
    <w:rsid w:val="00A65A51"/>
    <w:rsid w:val="00A70CE1"/>
    <w:rsid w:val="00A74ACC"/>
    <w:rsid w:val="00A75009"/>
    <w:rsid w:val="00A825BA"/>
    <w:rsid w:val="00A82C53"/>
    <w:rsid w:val="00A9679A"/>
    <w:rsid w:val="00AA77C0"/>
    <w:rsid w:val="00AA7ACB"/>
    <w:rsid w:val="00AB0B77"/>
    <w:rsid w:val="00AB1ACA"/>
    <w:rsid w:val="00AB47BB"/>
    <w:rsid w:val="00AB68E5"/>
    <w:rsid w:val="00AB760D"/>
    <w:rsid w:val="00AC608C"/>
    <w:rsid w:val="00AC6FF2"/>
    <w:rsid w:val="00AD49B3"/>
    <w:rsid w:val="00AD66EC"/>
    <w:rsid w:val="00AD7739"/>
    <w:rsid w:val="00AE14B3"/>
    <w:rsid w:val="00AE3091"/>
    <w:rsid w:val="00AF397D"/>
    <w:rsid w:val="00B017F6"/>
    <w:rsid w:val="00B17861"/>
    <w:rsid w:val="00B20710"/>
    <w:rsid w:val="00B30C69"/>
    <w:rsid w:val="00B31897"/>
    <w:rsid w:val="00B3793C"/>
    <w:rsid w:val="00B51927"/>
    <w:rsid w:val="00B60180"/>
    <w:rsid w:val="00B657E0"/>
    <w:rsid w:val="00B70F67"/>
    <w:rsid w:val="00B72585"/>
    <w:rsid w:val="00B7351E"/>
    <w:rsid w:val="00B77F52"/>
    <w:rsid w:val="00B806AE"/>
    <w:rsid w:val="00B8541D"/>
    <w:rsid w:val="00B869C9"/>
    <w:rsid w:val="00B87A52"/>
    <w:rsid w:val="00B91E7D"/>
    <w:rsid w:val="00B93A75"/>
    <w:rsid w:val="00B9428A"/>
    <w:rsid w:val="00B96627"/>
    <w:rsid w:val="00BA2C8D"/>
    <w:rsid w:val="00BA5399"/>
    <w:rsid w:val="00BA56DF"/>
    <w:rsid w:val="00BB0353"/>
    <w:rsid w:val="00BB1363"/>
    <w:rsid w:val="00BB33E8"/>
    <w:rsid w:val="00BC251D"/>
    <w:rsid w:val="00BC3C7C"/>
    <w:rsid w:val="00BD0257"/>
    <w:rsid w:val="00BD5E5D"/>
    <w:rsid w:val="00BE3FAA"/>
    <w:rsid w:val="00BE693A"/>
    <w:rsid w:val="00BE7A2C"/>
    <w:rsid w:val="00BE7FBE"/>
    <w:rsid w:val="00BF17A3"/>
    <w:rsid w:val="00C05117"/>
    <w:rsid w:val="00C12642"/>
    <w:rsid w:val="00C13588"/>
    <w:rsid w:val="00C22FED"/>
    <w:rsid w:val="00C31159"/>
    <w:rsid w:val="00C31655"/>
    <w:rsid w:val="00C346EB"/>
    <w:rsid w:val="00C360F6"/>
    <w:rsid w:val="00C429CF"/>
    <w:rsid w:val="00C44DE3"/>
    <w:rsid w:val="00C471CE"/>
    <w:rsid w:val="00C546E3"/>
    <w:rsid w:val="00C611F3"/>
    <w:rsid w:val="00C61A00"/>
    <w:rsid w:val="00C6591D"/>
    <w:rsid w:val="00C769F5"/>
    <w:rsid w:val="00C77FBE"/>
    <w:rsid w:val="00C86BEE"/>
    <w:rsid w:val="00C918FD"/>
    <w:rsid w:val="00C9269A"/>
    <w:rsid w:val="00C928F6"/>
    <w:rsid w:val="00C96803"/>
    <w:rsid w:val="00CA0509"/>
    <w:rsid w:val="00CA1B31"/>
    <w:rsid w:val="00CA2A4C"/>
    <w:rsid w:val="00CB0513"/>
    <w:rsid w:val="00CB2422"/>
    <w:rsid w:val="00CB2E97"/>
    <w:rsid w:val="00CB3968"/>
    <w:rsid w:val="00CB548C"/>
    <w:rsid w:val="00CC05CC"/>
    <w:rsid w:val="00CC0CC9"/>
    <w:rsid w:val="00CE0F7D"/>
    <w:rsid w:val="00CE1E2E"/>
    <w:rsid w:val="00CE3F8A"/>
    <w:rsid w:val="00CF18B3"/>
    <w:rsid w:val="00CF1C87"/>
    <w:rsid w:val="00CF270F"/>
    <w:rsid w:val="00CF31C5"/>
    <w:rsid w:val="00CF367C"/>
    <w:rsid w:val="00CF7153"/>
    <w:rsid w:val="00D0114B"/>
    <w:rsid w:val="00D021F3"/>
    <w:rsid w:val="00D053E6"/>
    <w:rsid w:val="00D10112"/>
    <w:rsid w:val="00D130CF"/>
    <w:rsid w:val="00D15B15"/>
    <w:rsid w:val="00D252B0"/>
    <w:rsid w:val="00D27834"/>
    <w:rsid w:val="00D341FE"/>
    <w:rsid w:val="00D3791D"/>
    <w:rsid w:val="00D416A3"/>
    <w:rsid w:val="00D43D5F"/>
    <w:rsid w:val="00D522CD"/>
    <w:rsid w:val="00D64447"/>
    <w:rsid w:val="00D678FF"/>
    <w:rsid w:val="00D749A2"/>
    <w:rsid w:val="00D806CD"/>
    <w:rsid w:val="00D81217"/>
    <w:rsid w:val="00D84A3E"/>
    <w:rsid w:val="00D86347"/>
    <w:rsid w:val="00D9181F"/>
    <w:rsid w:val="00D933A8"/>
    <w:rsid w:val="00D95FD3"/>
    <w:rsid w:val="00DA5342"/>
    <w:rsid w:val="00DA7968"/>
    <w:rsid w:val="00DC0CCF"/>
    <w:rsid w:val="00DC134E"/>
    <w:rsid w:val="00DC3E1B"/>
    <w:rsid w:val="00DD0A98"/>
    <w:rsid w:val="00DD545E"/>
    <w:rsid w:val="00DD7DFE"/>
    <w:rsid w:val="00DE3157"/>
    <w:rsid w:val="00DE4168"/>
    <w:rsid w:val="00DE6A38"/>
    <w:rsid w:val="00DF14AB"/>
    <w:rsid w:val="00DF448E"/>
    <w:rsid w:val="00DF6FD5"/>
    <w:rsid w:val="00E14B72"/>
    <w:rsid w:val="00E14B80"/>
    <w:rsid w:val="00E17D1D"/>
    <w:rsid w:val="00E372A8"/>
    <w:rsid w:val="00E4220D"/>
    <w:rsid w:val="00E501B4"/>
    <w:rsid w:val="00E508BF"/>
    <w:rsid w:val="00E5198A"/>
    <w:rsid w:val="00E53E98"/>
    <w:rsid w:val="00E559C6"/>
    <w:rsid w:val="00E57C26"/>
    <w:rsid w:val="00E61E2D"/>
    <w:rsid w:val="00E62818"/>
    <w:rsid w:val="00E91C6E"/>
    <w:rsid w:val="00E932E7"/>
    <w:rsid w:val="00E93DB6"/>
    <w:rsid w:val="00E9513F"/>
    <w:rsid w:val="00E973B0"/>
    <w:rsid w:val="00EA0645"/>
    <w:rsid w:val="00EA2949"/>
    <w:rsid w:val="00EA64DE"/>
    <w:rsid w:val="00EA684C"/>
    <w:rsid w:val="00EA7030"/>
    <w:rsid w:val="00EA7112"/>
    <w:rsid w:val="00EB1F1D"/>
    <w:rsid w:val="00EB6620"/>
    <w:rsid w:val="00EC0EAC"/>
    <w:rsid w:val="00ED59B0"/>
    <w:rsid w:val="00EE1C0D"/>
    <w:rsid w:val="00EE3A1D"/>
    <w:rsid w:val="00EE6B61"/>
    <w:rsid w:val="00EF1556"/>
    <w:rsid w:val="00EF36FB"/>
    <w:rsid w:val="00F01168"/>
    <w:rsid w:val="00F12DC3"/>
    <w:rsid w:val="00F1746F"/>
    <w:rsid w:val="00F17F2E"/>
    <w:rsid w:val="00F3309D"/>
    <w:rsid w:val="00F33D23"/>
    <w:rsid w:val="00F35193"/>
    <w:rsid w:val="00F36E2F"/>
    <w:rsid w:val="00F37647"/>
    <w:rsid w:val="00F37BD1"/>
    <w:rsid w:val="00F60DC0"/>
    <w:rsid w:val="00F6535F"/>
    <w:rsid w:val="00F65A0F"/>
    <w:rsid w:val="00F67E15"/>
    <w:rsid w:val="00F70EB0"/>
    <w:rsid w:val="00F71D4D"/>
    <w:rsid w:val="00F72048"/>
    <w:rsid w:val="00F73B30"/>
    <w:rsid w:val="00F76F6E"/>
    <w:rsid w:val="00F82D3E"/>
    <w:rsid w:val="00F925B7"/>
    <w:rsid w:val="00F93017"/>
    <w:rsid w:val="00F93B1E"/>
    <w:rsid w:val="00F966C1"/>
    <w:rsid w:val="00F96741"/>
    <w:rsid w:val="00F977F9"/>
    <w:rsid w:val="00FA0087"/>
    <w:rsid w:val="00FA2375"/>
    <w:rsid w:val="00FA78CE"/>
    <w:rsid w:val="00FB045F"/>
    <w:rsid w:val="00FB099C"/>
    <w:rsid w:val="00FB440F"/>
    <w:rsid w:val="00FC226F"/>
    <w:rsid w:val="00FE343F"/>
    <w:rsid w:val="00FE7899"/>
    <w:rsid w:val="00FF63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8F38C"/>
  <w15:docId w15:val="{AC92C9E6-A355-41A3-8CBB-3C861A33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53"/>
  </w:style>
  <w:style w:type="paragraph" w:styleId="Overskrift1">
    <w:name w:val="heading 1"/>
    <w:basedOn w:val="Normal"/>
    <w:next w:val="Normal"/>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3F7E2E"/>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F7E2E"/>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52131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rsid w:val="0052131E"/>
    <w:pPr>
      <w:spacing w:after="0" w:line="150" w:lineRule="atLeast"/>
      <w:ind w:right="57"/>
      <w:jc w:val="right"/>
    </w:pPr>
    <w:rPr>
      <w:rFonts w:ascii="Arial" w:hAnsi="Arial"/>
      <w:b/>
      <w:sz w:val="14"/>
    </w:rPr>
  </w:style>
  <w:style w:type="paragraph" w:customStyle="1" w:styleId="Tabeloverskrift">
    <w:name w:val="Tabel overskrift"/>
    <w:basedOn w:val="Normal"/>
    <w:rsid w:val="0052131E"/>
    <w:pPr>
      <w:spacing w:after="0" w:line="150" w:lineRule="atLeast"/>
      <w:ind w:right="57"/>
    </w:pPr>
    <w:rPr>
      <w:rFonts w:ascii="Arial" w:hAnsi="Arial"/>
      <w:b/>
      <w:sz w:val="14"/>
    </w:rPr>
  </w:style>
  <w:style w:type="paragraph" w:customStyle="1" w:styleId="Tabeltekst">
    <w:name w:val="Tabel tekst"/>
    <w:basedOn w:val="Normal"/>
    <w:rsid w:val="00956D8A"/>
    <w:pPr>
      <w:spacing w:after="0" w:line="150" w:lineRule="atLeast"/>
      <w:ind w:right="57"/>
    </w:pPr>
    <w:rPr>
      <w:rFonts w:ascii="Arial" w:hAnsi="Arial"/>
      <w:sz w:val="14"/>
    </w:rPr>
  </w:style>
  <w:style w:type="paragraph" w:customStyle="1" w:styleId="Tabeltal">
    <w:name w:val="Tabel tal"/>
    <w:basedOn w:val="Tabeltekst"/>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autoRedefine/>
    <w:uiPriority w:val="34"/>
    <w:qFormat/>
    <w:rsid w:val="001836CB"/>
    <w:pPr>
      <w:numPr>
        <w:numId w:val="25"/>
      </w:numPr>
      <w:spacing w:before="120" w:after="240" w:line="240" w:lineRule="atLeast"/>
      <w:contextualSpacing/>
    </w:pPr>
    <w:rPr>
      <w:rFonts w:ascii="Verdana" w:eastAsia="Calibri" w:hAnsi="Verdana"/>
      <w:i/>
      <w:sz w:val="18"/>
      <w:szCs w:val="22"/>
      <w:lang w:eastAsia="en-US"/>
    </w:rPr>
  </w:style>
  <w:style w:type="paragraph" w:styleId="Markeringsbobletekst">
    <w:name w:val="Balloon Text"/>
    <w:basedOn w:val="Normal"/>
    <w:link w:val="MarkeringsbobletekstTegn"/>
    <w:uiPriority w:val="99"/>
    <w:semiHidden/>
    <w:rsid w:val="002915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15CF"/>
    <w:rPr>
      <w:rFonts w:ascii="Tahoma" w:hAnsi="Tahoma" w:cs="Tahoma"/>
      <w:sz w:val="16"/>
      <w:szCs w:val="16"/>
    </w:rPr>
  </w:style>
  <w:style w:type="character" w:styleId="Kommentarhenvisning">
    <w:name w:val="annotation reference"/>
    <w:basedOn w:val="Standardskrifttypeiafsnit"/>
    <w:uiPriority w:val="99"/>
    <w:semiHidden/>
    <w:rsid w:val="003B2A15"/>
    <w:rPr>
      <w:sz w:val="16"/>
      <w:szCs w:val="16"/>
    </w:rPr>
  </w:style>
  <w:style w:type="paragraph" w:styleId="Kommentartekst">
    <w:name w:val="annotation text"/>
    <w:basedOn w:val="Normal"/>
    <w:link w:val="KommentartekstTegn"/>
    <w:uiPriority w:val="99"/>
    <w:semiHidden/>
    <w:rsid w:val="003B2A1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B2A15"/>
    <w:rPr>
      <w:sz w:val="20"/>
      <w:szCs w:val="20"/>
    </w:rPr>
  </w:style>
  <w:style w:type="paragraph" w:styleId="Kommentaremne">
    <w:name w:val="annotation subject"/>
    <w:basedOn w:val="Kommentartekst"/>
    <w:next w:val="Kommentartekst"/>
    <w:link w:val="KommentaremneTegn"/>
    <w:uiPriority w:val="99"/>
    <w:semiHidden/>
    <w:rsid w:val="003B2A15"/>
    <w:rPr>
      <w:b/>
      <w:bCs/>
    </w:rPr>
  </w:style>
  <w:style w:type="character" w:customStyle="1" w:styleId="KommentaremneTegn">
    <w:name w:val="Kommentaremne Tegn"/>
    <w:basedOn w:val="KommentartekstTegn"/>
    <w:link w:val="Kommentaremne"/>
    <w:uiPriority w:val="99"/>
    <w:semiHidden/>
    <w:rsid w:val="003B2A15"/>
    <w:rPr>
      <w:b/>
      <w:bCs/>
      <w:sz w:val="20"/>
      <w:szCs w:val="20"/>
    </w:rPr>
  </w:style>
  <w:style w:type="paragraph" w:customStyle="1" w:styleId="Pladsholdertxtfelt">
    <w:name w:val="Pladsholder txtfelt"/>
    <w:rsid w:val="00392770"/>
    <w:pPr>
      <w:spacing w:after="0" w:line="240" w:lineRule="auto"/>
      <w:jc w:val="center"/>
    </w:pPr>
    <w:rPr>
      <w:rFonts w:ascii="Arial" w:hAnsi="Arial"/>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8787">
      <w:bodyDiv w:val="1"/>
      <w:marLeft w:val="0"/>
      <w:marRight w:val="0"/>
      <w:marTop w:val="0"/>
      <w:marBottom w:val="0"/>
      <w:divBdr>
        <w:top w:val="none" w:sz="0" w:space="0" w:color="auto"/>
        <w:left w:val="none" w:sz="0" w:space="0" w:color="auto"/>
        <w:bottom w:val="none" w:sz="0" w:space="0" w:color="auto"/>
        <w:right w:val="none" w:sz="0" w:space="0" w:color="auto"/>
      </w:divBdr>
    </w:div>
    <w:div w:id="273053849">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319820203">
      <w:bodyDiv w:val="1"/>
      <w:marLeft w:val="0"/>
      <w:marRight w:val="0"/>
      <w:marTop w:val="0"/>
      <w:marBottom w:val="0"/>
      <w:divBdr>
        <w:top w:val="none" w:sz="0" w:space="0" w:color="auto"/>
        <w:left w:val="none" w:sz="0" w:space="0" w:color="auto"/>
        <w:bottom w:val="none" w:sz="0" w:space="0" w:color="auto"/>
        <w:right w:val="none" w:sz="0" w:space="0" w:color="auto"/>
      </w:divBdr>
    </w:div>
    <w:div w:id="381364121">
      <w:bodyDiv w:val="1"/>
      <w:marLeft w:val="0"/>
      <w:marRight w:val="0"/>
      <w:marTop w:val="0"/>
      <w:marBottom w:val="0"/>
      <w:divBdr>
        <w:top w:val="none" w:sz="0" w:space="0" w:color="auto"/>
        <w:left w:val="none" w:sz="0" w:space="0" w:color="auto"/>
        <w:bottom w:val="none" w:sz="0" w:space="0" w:color="auto"/>
        <w:right w:val="none" w:sz="0" w:space="0" w:color="auto"/>
      </w:divBdr>
    </w:div>
    <w:div w:id="471140073">
      <w:bodyDiv w:val="1"/>
      <w:marLeft w:val="0"/>
      <w:marRight w:val="0"/>
      <w:marTop w:val="0"/>
      <w:marBottom w:val="0"/>
      <w:divBdr>
        <w:top w:val="none" w:sz="0" w:space="0" w:color="auto"/>
        <w:left w:val="none" w:sz="0" w:space="0" w:color="auto"/>
        <w:bottom w:val="none" w:sz="0" w:space="0" w:color="auto"/>
        <w:right w:val="none" w:sz="0" w:space="0" w:color="auto"/>
      </w:divBdr>
    </w:div>
    <w:div w:id="480464661">
      <w:bodyDiv w:val="1"/>
      <w:marLeft w:val="0"/>
      <w:marRight w:val="0"/>
      <w:marTop w:val="0"/>
      <w:marBottom w:val="0"/>
      <w:divBdr>
        <w:top w:val="none" w:sz="0" w:space="0" w:color="auto"/>
        <w:left w:val="none" w:sz="0" w:space="0" w:color="auto"/>
        <w:bottom w:val="none" w:sz="0" w:space="0" w:color="auto"/>
        <w:right w:val="none" w:sz="0" w:space="0" w:color="auto"/>
      </w:divBdr>
    </w:div>
    <w:div w:id="499925561">
      <w:bodyDiv w:val="1"/>
      <w:marLeft w:val="0"/>
      <w:marRight w:val="0"/>
      <w:marTop w:val="0"/>
      <w:marBottom w:val="0"/>
      <w:divBdr>
        <w:top w:val="none" w:sz="0" w:space="0" w:color="auto"/>
        <w:left w:val="none" w:sz="0" w:space="0" w:color="auto"/>
        <w:bottom w:val="none" w:sz="0" w:space="0" w:color="auto"/>
        <w:right w:val="none" w:sz="0" w:space="0" w:color="auto"/>
      </w:divBdr>
    </w:div>
    <w:div w:id="599026002">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887188521">
      <w:bodyDiv w:val="1"/>
      <w:marLeft w:val="0"/>
      <w:marRight w:val="0"/>
      <w:marTop w:val="0"/>
      <w:marBottom w:val="0"/>
      <w:divBdr>
        <w:top w:val="none" w:sz="0" w:space="0" w:color="auto"/>
        <w:left w:val="none" w:sz="0" w:space="0" w:color="auto"/>
        <w:bottom w:val="none" w:sz="0" w:space="0" w:color="auto"/>
        <w:right w:val="none" w:sz="0" w:space="0" w:color="auto"/>
      </w:divBdr>
    </w:div>
    <w:div w:id="1131826052">
      <w:bodyDiv w:val="1"/>
      <w:marLeft w:val="0"/>
      <w:marRight w:val="0"/>
      <w:marTop w:val="0"/>
      <w:marBottom w:val="0"/>
      <w:divBdr>
        <w:top w:val="none" w:sz="0" w:space="0" w:color="auto"/>
        <w:left w:val="none" w:sz="0" w:space="0" w:color="auto"/>
        <w:bottom w:val="none" w:sz="0" w:space="0" w:color="auto"/>
        <w:right w:val="none" w:sz="0" w:space="0" w:color="auto"/>
      </w:divBdr>
    </w:div>
    <w:div w:id="1216967759">
      <w:bodyDiv w:val="1"/>
      <w:marLeft w:val="0"/>
      <w:marRight w:val="0"/>
      <w:marTop w:val="0"/>
      <w:marBottom w:val="0"/>
      <w:divBdr>
        <w:top w:val="none" w:sz="0" w:space="0" w:color="auto"/>
        <w:left w:val="none" w:sz="0" w:space="0" w:color="auto"/>
        <w:bottom w:val="none" w:sz="0" w:space="0" w:color="auto"/>
        <w:right w:val="none" w:sz="0" w:space="0" w:color="auto"/>
      </w:divBdr>
    </w:div>
    <w:div w:id="1274020150">
      <w:bodyDiv w:val="1"/>
      <w:marLeft w:val="0"/>
      <w:marRight w:val="0"/>
      <w:marTop w:val="0"/>
      <w:marBottom w:val="0"/>
      <w:divBdr>
        <w:top w:val="none" w:sz="0" w:space="0" w:color="auto"/>
        <w:left w:val="none" w:sz="0" w:space="0" w:color="auto"/>
        <w:bottom w:val="none" w:sz="0" w:space="0" w:color="auto"/>
        <w:right w:val="none" w:sz="0" w:space="0" w:color="auto"/>
      </w:divBdr>
    </w:div>
    <w:div w:id="1410035449">
      <w:bodyDiv w:val="1"/>
      <w:marLeft w:val="0"/>
      <w:marRight w:val="0"/>
      <w:marTop w:val="0"/>
      <w:marBottom w:val="0"/>
      <w:divBdr>
        <w:top w:val="none" w:sz="0" w:space="0" w:color="auto"/>
        <w:left w:val="none" w:sz="0" w:space="0" w:color="auto"/>
        <w:bottom w:val="none" w:sz="0" w:space="0" w:color="auto"/>
        <w:right w:val="none" w:sz="0" w:space="0" w:color="auto"/>
      </w:divBdr>
    </w:div>
    <w:div w:id="1520701321">
      <w:bodyDiv w:val="1"/>
      <w:marLeft w:val="0"/>
      <w:marRight w:val="0"/>
      <w:marTop w:val="0"/>
      <w:marBottom w:val="0"/>
      <w:divBdr>
        <w:top w:val="none" w:sz="0" w:space="0" w:color="auto"/>
        <w:left w:val="none" w:sz="0" w:space="0" w:color="auto"/>
        <w:bottom w:val="none" w:sz="0" w:space="0" w:color="auto"/>
        <w:right w:val="none" w:sz="0" w:space="0" w:color="auto"/>
      </w:divBdr>
    </w:div>
    <w:div w:id="1548031272">
      <w:bodyDiv w:val="1"/>
      <w:marLeft w:val="0"/>
      <w:marRight w:val="0"/>
      <w:marTop w:val="0"/>
      <w:marBottom w:val="0"/>
      <w:divBdr>
        <w:top w:val="none" w:sz="0" w:space="0" w:color="auto"/>
        <w:left w:val="none" w:sz="0" w:space="0" w:color="auto"/>
        <w:bottom w:val="none" w:sz="0" w:space="0" w:color="auto"/>
        <w:right w:val="none" w:sz="0" w:space="0" w:color="auto"/>
      </w:divBdr>
    </w:div>
    <w:div w:id="1602058758">
      <w:bodyDiv w:val="1"/>
      <w:marLeft w:val="0"/>
      <w:marRight w:val="0"/>
      <w:marTop w:val="0"/>
      <w:marBottom w:val="0"/>
      <w:divBdr>
        <w:top w:val="none" w:sz="0" w:space="0" w:color="auto"/>
        <w:left w:val="none" w:sz="0" w:space="0" w:color="auto"/>
        <w:bottom w:val="none" w:sz="0" w:space="0" w:color="auto"/>
        <w:right w:val="none" w:sz="0" w:space="0" w:color="auto"/>
      </w:divBdr>
    </w:div>
    <w:div w:id="1998916718">
      <w:bodyDiv w:val="1"/>
      <w:marLeft w:val="0"/>
      <w:marRight w:val="0"/>
      <w:marTop w:val="0"/>
      <w:marBottom w:val="0"/>
      <w:divBdr>
        <w:top w:val="none" w:sz="0" w:space="0" w:color="auto"/>
        <w:left w:val="none" w:sz="0" w:space="0" w:color="auto"/>
        <w:bottom w:val="none" w:sz="0" w:space="0" w:color="auto"/>
        <w:right w:val="none" w:sz="0" w:space="0" w:color="auto"/>
      </w:divBdr>
    </w:div>
    <w:div w:id="2042169768">
      <w:bodyDiv w:val="1"/>
      <w:marLeft w:val="0"/>
      <w:marRight w:val="0"/>
      <w:marTop w:val="0"/>
      <w:marBottom w:val="0"/>
      <w:divBdr>
        <w:top w:val="none" w:sz="0" w:space="0" w:color="auto"/>
        <w:left w:val="none" w:sz="0" w:space="0" w:color="auto"/>
        <w:bottom w:val="none" w:sz="0" w:space="0" w:color="auto"/>
        <w:right w:val="none" w:sz="0" w:space="0" w:color="auto"/>
      </w:divBdr>
    </w:div>
    <w:div w:id="21101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0996\AppData\Local\cBrain\F2\.tmp\220471ec-a5de-41c4-ab83-afd1f8bbe2aa.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C037-DE2D-4019-9DF9-D1CEB69F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220471ec-a5de-41c4-ab83-afd1f8bbe2aa.dotx</Template>
  <TotalTime>0</TotalTime>
  <Pages>6</Pages>
  <Words>1691</Words>
  <Characters>10320</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Finansministeriet</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Vincent Rudnicki;mthpe@digst.dk</dc:creator>
  <cp:lastModifiedBy>Sofie Torngaard Hammeken</cp:lastModifiedBy>
  <cp:revision>2</cp:revision>
  <dcterms:created xsi:type="dcterms:W3CDTF">2020-06-23T07:16:00Z</dcterms:created>
  <dcterms:modified xsi:type="dcterms:W3CDTF">2020-06-23T07:16:00Z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Cover_Anders</vt:lpwstr>
  </property>
  <property fmtid="{D5CDD505-2E9C-101B-9397-08002B2CF9AE}" pid="9" name="SD_DocumentLanguage">
    <vt:lpwstr>da-DK</vt:lpwstr>
  </property>
  <property fmtid="{D5CDD505-2E9C-101B-9397-08002B2CF9AE}" pid="10" name="sdDocumentDate">
    <vt:lpwstr>42013</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Cover_Anders</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ImageDefinition">
    <vt:lpwstr>Logo</vt:lpwstr>
  </property>
  <property fmtid="{D5CDD505-2E9C-101B-9397-08002B2CF9AE}" pid="19" name="SD_USR_Name">
    <vt:lpwstr>Anders Sønderskov Olesen</vt:lpwstr>
  </property>
  <property fmtid="{D5CDD505-2E9C-101B-9397-08002B2CF9AE}" pid="20" name="SD_USR_Title">
    <vt:lpwstr>Fuldmægtig</vt:lpwstr>
  </property>
  <property fmtid="{D5CDD505-2E9C-101B-9397-08002B2CF9AE}" pid="21" name="SD_USR_DirectPhone">
    <vt:lpwstr>+45 60 93 48 71</vt:lpwstr>
  </property>
  <property fmtid="{D5CDD505-2E9C-101B-9397-08002B2CF9AE}" pid="22" name="SD_USR_Email">
    <vt:lpwstr>aso@digst.dk</vt:lpwstr>
  </property>
  <property fmtid="{D5CDD505-2E9C-101B-9397-08002B2CF9AE}" pid="23" name="SD_USR_SagsbehandlerIni">
    <vt:lpwstr/>
  </property>
  <property fmtid="{D5CDD505-2E9C-101B-9397-08002B2CF9AE}" pid="24" name="SD_USR_Enhed">
    <vt:lpwstr>KUI</vt:lpwstr>
  </property>
  <property fmtid="{D5CDD505-2E9C-101B-9397-08002B2CF9AE}" pid="25" name="DocumentInfoFinished">
    <vt:lpwstr>True</vt:lpwstr>
  </property>
  <property fmtid="{D5CDD505-2E9C-101B-9397-08002B2CF9AE}" pid="26" name="ContentRemapped">
    <vt:lpwstr>true</vt:lpwstr>
  </property>
</Properties>
</file>