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7258"/>
      </w:tblGrid>
      <w:tr w:rsidR="00D25024" w:rsidRPr="00DF51E7" w14:paraId="6623DA0B" w14:textId="77777777" w:rsidTr="00B447C6">
        <w:trPr>
          <w:cantSplit/>
          <w:trHeight w:val="1463"/>
        </w:trPr>
        <w:tc>
          <w:tcPr>
            <w:tcW w:w="7258" w:type="dxa"/>
          </w:tcPr>
          <w:p w14:paraId="2E008CBC" w14:textId="77777777" w:rsidR="00D25024" w:rsidRPr="00DF51E7" w:rsidRDefault="00D25024">
            <w:pPr>
              <w:pStyle w:val="Brdtekst"/>
              <w:rPr>
                <w:szCs w:val="22"/>
              </w:rPr>
            </w:pPr>
            <w:bookmarkStart w:id="0" w:name="PCAmodtager"/>
            <w:bookmarkEnd w:id="0"/>
          </w:p>
        </w:tc>
      </w:tr>
    </w:tbl>
    <w:p w14:paraId="0870B85C" w14:textId="77777777" w:rsidR="00DF51E7" w:rsidRPr="00E57074" w:rsidRDefault="00DF51E7" w:rsidP="00DF51E7">
      <w:pPr>
        <w:jc w:val="both"/>
        <w:rPr>
          <w:b/>
          <w:bCs/>
          <w:sz w:val="24"/>
          <w:szCs w:val="24"/>
        </w:rPr>
      </w:pPr>
      <w:bookmarkStart w:id="1" w:name="PCAoverskrift"/>
      <w:bookmarkEnd w:id="1"/>
      <w:r w:rsidRPr="00E57074">
        <w:rPr>
          <w:b/>
          <w:bCs/>
          <w:sz w:val="24"/>
          <w:szCs w:val="24"/>
        </w:rPr>
        <w:t>Annonceringstekst – Indkaldelse af ansøgninger til danske kandidater til European Digital Innovation Hubs</w:t>
      </w:r>
    </w:p>
    <w:p w14:paraId="675D4529" w14:textId="77777777" w:rsidR="00DF51E7" w:rsidRPr="00DF51E7" w:rsidRDefault="00DF51E7" w:rsidP="00DF51E7">
      <w:pPr>
        <w:jc w:val="both"/>
        <w:rPr>
          <w:szCs w:val="22"/>
        </w:rPr>
      </w:pPr>
    </w:p>
    <w:p w14:paraId="00332864" w14:textId="77777777" w:rsidR="00DF51E7" w:rsidRPr="00DF51E7" w:rsidRDefault="00DF51E7" w:rsidP="00DF51E7">
      <w:pPr>
        <w:jc w:val="both"/>
        <w:rPr>
          <w:b/>
          <w:bCs/>
          <w:szCs w:val="22"/>
        </w:rPr>
      </w:pPr>
      <w:r w:rsidRPr="00DF51E7">
        <w:rPr>
          <w:b/>
          <w:bCs/>
          <w:szCs w:val="22"/>
        </w:rPr>
        <w:t>1. Indledning</w:t>
      </w:r>
    </w:p>
    <w:p w14:paraId="45A1266C" w14:textId="77777777" w:rsidR="00DF51E7" w:rsidRPr="00DF51E7" w:rsidRDefault="00DF51E7" w:rsidP="00DF51E7">
      <w:pPr>
        <w:pStyle w:val="Brdtekst"/>
        <w:spacing w:before="240" w:line="240" w:lineRule="auto"/>
        <w:jc w:val="both"/>
        <w:rPr>
          <w:szCs w:val="22"/>
        </w:rPr>
      </w:pPr>
      <w:r w:rsidRPr="00DF51E7">
        <w:rPr>
          <w:szCs w:val="22"/>
        </w:rPr>
        <w:t xml:space="preserve">Som led i implementeringen af det kommende Digital Europe-program skal der udpeges et netværk af såkaldte </w:t>
      </w:r>
      <w:r w:rsidRPr="00DF51E7">
        <w:rPr>
          <w:i/>
          <w:iCs/>
          <w:szCs w:val="22"/>
        </w:rPr>
        <w:t>European Digital Innovation Hubs</w:t>
      </w:r>
      <w:r w:rsidRPr="00DF51E7">
        <w:rPr>
          <w:szCs w:val="22"/>
        </w:rPr>
        <w:t>. Foreløbigt er der øremærket 17,87 mio. € (ca. 133 mio. kr.) samlet for perioden 2021-2027 til ca. 3-6 danske hubs</w:t>
      </w:r>
      <w:r w:rsidRPr="00DF51E7">
        <w:rPr>
          <w:rStyle w:val="Fodnotehenvisning"/>
          <w:szCs w:val="22"/>
        </w:rPr>
        <w:footnoteReference w:id="1"/>
      </w:r>
      <w:r w:rsidRPr="00DF51E7">
        <w:rPr>
          <w:szCs w:val="22"/>
        </w:rPr>
        <w:t xml:space="preserve">. Derfor vil Europa-Kommissionen anmode regeringen om til oktober 2020 at sende en liste med danske kandidater til rollen som European Digital Innovation Hubs. De danske kandidater, som lever op til Kommissionens krav, vil herefter få adgang til lukkede udbudsrunder, hvor European Digital Innovation Hubs udvælges af Kommissionen. </w:t>
      </w:r>
    </w:p>
    <w:p w14:paraId="524BC983" w14:textId="77777777" w:rsidR="00DF51E7" w:rsidRPr="00DF51E7" w:rsidRDefault="00DF51E7" w:rsidP="00DF51E7">
      <w:pPr>
        <w:pStyle w:val="Brdtekst"/>
        <w:spacing w:line="240" w:lineRule="auto"/>
        <w:jc w:val="both"/>
        <w:rPr>
          <w:szCs w:val="22"/>
        </w:rPr>
      </w:pPr>
    </w:p>
    <w:p w14:paraId="407E8B5E" w14:textId="77777777" w:rsidR="00DF51E7" w:rsidRPr="00DF51E7" w:rsidRDefault="00DF51E7" w:rsidP="00DF51E7">
      <w:pPr>
        <w:pStyle w:val="Brdtekst"/>
        <w:spacing w:line="240" w:lineRule="auto"/>
        <w:jc w:val="both"/>
        <w:rPr>
          <w:szCs w:val="22"/>
        </w:rPr>
      </w:pPr>
      <w:r w:rsidRPr="00DF51E7">
        <w:rPr>
          <w:szCs w:val="22"/>
        </w:rPr>
        <w:t xml:space="preserve">Netværket af European Digital Innovation Hubs skal fremme den digitale omstilling og det brede optag af digitale teknologier blandt virksomheder i hele landet ved at tilbyde adgang til en række services i samarbejder mellem erhvervshuse, klynger, </w:t>
      </w:r>
      <w:proofErr w:type="spellStart"/>
      <w:r w:rsidRPr="00DF51E7">
        <w:rPr>
          <w:szCs w:val="22"/>
        </w:rPr>
        <w:t>GTS’er</w:t>
      </w:r>
      <w:proofErr w:type="spellEnd"/>
      <w:r w:rsidRPr="00DF51E7">
        <w:rPr>
          <w:szCs w:val="22"/>
        </w:rPr>
        <w:t xml:space="preserve">, viden- og forskningsinstitutioner mv. De danske hubs vil tilbyde virksomhederne en let adgang til relevant vejledning, ekspertise, faciliteter mv., som er afgørende for, at flere virksomheder bruger digitale teknologier til at optimere deres virksomhed og blive mere konkurrencedygtige. Det omfatter digitale teknologier som kunstig intelligens, supercomputere, </w:t>
      </w:r>
      <w:proofErr w:type="spellStart"/>
      <w:r w:rsidRPr="00DF51E7">
        <w:rPr>
          <w:szCs w:val="22"/>
        </w:rPr>
        <w:t>cybersikkerhed</w:t>
      </w:r>
      <w:proofErr w:type="spellEnd"/>
      <w:r w:rsidRPr="00DF51E7">
        <w:rPr>
          <w:szCs w:val="22"/>
        </w:rPr>
        <w:t xml:space="preserve"> blandt virksomheder (særligt SMV’er) og offentlige organisationer. De digitale hubs skal være knudepunkter, som hjælper virksomheder med at blive mere konkurrencedygtige ved at bruge digitale teknologier til at forbedre deres forretningsmodel, produktion, produkter og services. En European Digital Innovation Hub skal være forankret i den regionale økonomi og har til formål at fremme digital transformation af den regionale industri. Samtidig skal </w:t>
      </w:r>
      <w:proofErr w:type="spellStart"/>
      <w:r w:rsidRPr="00DF51E7">
        <w:rPr>
          <w:szCs w:val="22"/>
        </w:rPr>
        <w:t>hubsne</w:t>
      </w:r>
      <w:proofErr w:type="spellEnd"/>
      <w:r w:rsidRPr="00DF51E7">
        <w:rPr>
          <w:szCs w:val="22"/>
        </w:rPr>
        <w:t xml:space="preserve"> indgå i det europæiske netværk af European Digital Innovation Hubs og fremme samarbejder og overførsel af viden og ekspertise mellem hubs og deres økosystemer. </w:t>
      </w:r>
    </w:p>
    <w:p w14:paraId="51B57AC0" w14:textId="77777777" w:rsidR="00DF51E7" w:rsidRPr="00DF51E7" w:rsidRDefault="00DF51E7" w:rsidP="00DF51E7">
      <w:pPr>
        <w:pStyle w:val="Brdtekst"/>
        <w:spacing w:line="240" w:lineRule="auto"/>
        <w:jc w:val="both"/>
        <w:rPr>
          <w:szCs w:val="22"/>
        </w:rPr>
      </w:pPr>
    </w:p>
    <w:p w14:paraId="3A32FD47" w14:textId="77777777" w:rsidR="00DF51E7" w:rsidRPr="00DF51E7" w:rsidRDefault="00DF51E7" w:rsidP="00DF51E7">
      <w:pPr>
        <w:pStyle w:val="Brdtekst"/>
        <w:spacing w:line="240" w:lineRule="auto"/>
        <w:jc w:val="both"/>
        <w:rPr>
          <w:szCs w:val="22"/>
        </w:rPr>
      </w:pPr>
      <w:r w:rsidRPr="00DF51E7">
        <w:rPr>
          <w:szCs w:val="22"/>
        </w:rPr>
        <w:t xml:space="preserve">For at opfylde dette formål ønsker Kommissionen, at European Digital Innovation Hubs skal være indgangen for virksomheder og myndigheder til de mere specialiserede centre under Digital Europe-programmet og tilbyde en række forskellige tjenester. Kommissionen har defineret følgende kerneopgaver (se uddybende </w:t>
      </w:r>
      <w:hyperlink r:id="rId7">
        <w:r w:rsidRPr="00DF51E7">
          <w:rPr>
            <w:rStyle w:val="Hyperlink"/>
            <w:szCs w:val="22"/>
          </w:rPr>
          <w:t>her</w:t>
        </w:r>
      </w:hyperlink>
      <w:r w:rsidRPr="00DF51E7">
        <w:rPr>
          <w:szCs w:val="22"/>
        </w:rPr>
        <w:t>):</w:t>
      </w:r>
    </w:p>
    <w:p w14:paraId="512B6B5A" w14:textId="77777777" w:rsidR="00DF51E7" w:rsidRPr="00DF51E7" w:rsidRDefault="00DF51E7" w:rsidP="00DF51E7">
      <w:pPr>
        <w:pStyle w:val="Brdtekst"/>
        <w:jc w:val="both"/>
        <w:rPr>
          <w:szCs w:val="22"/>
        </w:rPr>
      </w:pPr>
    </w:p>
    <w:p w14:paraId="09C23E61" w14:textId="77777777" w:rsidR="00DF51E7" w:rsidRPr="00DF51E7" w:rsidRDefault="00DF51E7" w:rsidP="00DF51E7">
      <w:pPr>
        <w:pStyle w:val="Brdtekst"/>
        <w:numPr>
          <w:ilvl w:val="0"/>
          <w:numId w:val="3"/>
        </w:numPr>
        <w:spacing w:after="120"/>
        <w:jc w:val="both"/>
        <w:rPr>
          <w:szCs w:val="22"/>
        </w:rPr>
      </w:pPr>
      <w:r w:rsidRPr="00DF51E7">
        <w:rPr>
          <w:szCs w:val="22"/>
        </w:rPr>
        <w:t>Test før investering: Test- og demonstrationsfaciliteter stilles til rådighed, og der vejledes i digital transformation.</w:t>
      </w:r>
    </w:p>
    <w:p w14:paraId="7BDFCB2D" w14:textId="77777777" w:rsidR="00DF51E7" w:rsidRPr="00DF51E7" w:rsidRDefault="00DF51E7" w:rsidP="00DF51E7">
      <w:pPr>
        <w:pStyle w:val="Brdtekst"/>
        <w:numPr>
          <w:ilvl w:val="0"/>
          <w:numId w:val="3"/>
        </w:numPr>
        <w:spacing w:after="120"/>
        <w:jc w:val="both"/>
        <w:rPr>
          <w:szCs w:val="22"/>
        </w:rPr>
      </w:pPr>
      <w:r w:rsidRPr="00DF51E7">
        <w:rPr>
          <w:szCs w:val="22"/>
        </w:rPr>
        <w:t xml:space="preserve">Færdigheder og træning: Annoncering, arrangering eller levering af træning, kurser eller praktikophold. </w:t>
      </w:r>
    </w:p>
    <w:p w14:paraId="5382898A" w14:textId="77777777" w:rsidR="00DF51E7" w:rsidRPr="00DF51E7" w:rsidRDefault="00DF51E7" w:rsidP="00DF51E7">
      <w:pPr>
        <w:pStyle w:val="Brdtekst"/>
        <w:numPr>
          <w:ilvl w:val="0"/>
          <w:numId w:val="3"/>
        </w:numPr>
        <w:spacing w:after="120"/>
        <w:jc w:val="both"/>
        <w:rPr>
          <w:szCs w:val="22"/>
        </w:rPr>
      </w:pPr>
      <w:r w:rsidRPr="00DF51E7">
        <w:rPr>
          <w:szCs w:val="22"/>
        </w:rPr>
        <w:lastRenderedPageBreak/>
        <w:t>Støtte til at finde investeringer: Formidling af forretningsmuligheder og andre relevante finansieringsmekanismer.</w:t>
      </w:r>
    </w:p>
    <w:p w14:paraId="51E34747" w14:textId="77777777" w:rsidR="00DF51E7" w:rsidRPr="00DF51E7" w:rsidRDefault="00DF51E7" w:rsidP="00DF51E7">
      <w:pPr>
        <w:pStyle w:val="Brdtekst"/>
        <w:numPr>
          <w:ilvl w:val="0"/>
          <w:numId w:val="3"/>
        </w:numPr>
        <w:jc w:val="both"/>
        <w:rPr>
          <w:szCs w:val="22"/>
        </w:rPr>
      </w:pPr>
      <w:r w:rsidRPr="00DF51E7">
        <w:rPr>
          <w:szCs w:val="22"/>
        </w:rPr>
        <w:t>Innovationsøkosystemer og netværksmuligheder: Slutbrugere og udbydere af teknologiske løsninger kommer i kontakt for at eksperimentere og teste nye løsninger.</w:t>
      </w:r>
    </w:p>
    <w:p w14:paraId="173247F6" w14:textId="77777777" w:rsidR="00DF51E7" w:rsidRPr="00DF51E7" w:rsidRDefault="00DF51E7" w:rsidP="00DF51E7">
      <w:pPr>
        <w:pStyle w:val="Brdtekst"/>
        <w:spacing w:line="240" w:lineRule="auto"/>
        <w:jc w:val="both"/>
        <w:rPr>
          <w:szCs w:val="22"/>
          <w:highlight w:val="yellow"/>
        </w:rPr>
      </w:pPr>
    </w:p>
    <w:p w14:paraId="7EFF61AF" w14:textId="77777777" w:rsidR="00DF51E7" w:rsidRPr="00DF51E7" w:rsidRDefault="00DF51E7" w:rsidP="00DF51E7">
      <w:pPr>
        <w:pStyle w:val="Brdtekst"/>
        <w:spacing w:line="240" w:lineRule="auto"/>
        <w:jc w:val="both"/>
        <w:rPr>
          <w:szCs w:val="22"/>
        </w:rPr>
      </w:pPr>
      <w:r w:rsidRPr="00DF51E7">
        <w:rPr>
          <w:szCs w:val="22"/>
        </w:rPr>
        <w:t xml:space="preserve">En European Digital Innovation Hub skal have et not-for-profit-formål og understøtte den digitale transformation af virksomheder (særligt SMV’er) samt også, hvis det findes relevant, offentlige organisationer. Hubben kan vælge at tilbyde ydelserne gratis til brugerne eller tage subsidieret deltagerbetaling – sidstnævnte vil bl.a. kunne være relevant for de mere specialiserede ydelser. </w:t>
      </w:r>
    </w:p>
    <w:p w14:paraId="2653750E" w14:textId="77777777" w:rsidR="00DF51E7" w:rsidRDefault="00DF51E7" w:rsidP="00DF51E7">
      <w:pPr>
        <w:pStyle w:val="Brdtekst"/>
        <w:spacing w:line="240" w:lineRule="auto"/>
        <w:jc w:val="both"/>
        <w:rPr>
          <w:szCs w:val="22"/>
        </w:rPr>
      </w:pPr>
      <w:r w:rsidRPr="00DF51E7">
        <w:rPr>
          <w:szCs w:val="22"/>
        </w:rPr>
        <w:t xml:space="preserve">European Digital Innovation Hub vil kræve tilsvarende national medfinansiering fra enten offentlige eller private aktører, der som minimum svarer til den europæiske finansiering fra Digital Europe-programmet. Den nationale medfinansiering kan være kontant medfinansiering eller </w:t>
      </w:r>
      <w:r w:rsidRPr="00DF51E7">
        <w:rPr>
          <w:i/>
          <w:iCs/>
          <w:szCs w:val="22"/>
        </w:rPr>
        <w:t>in-kind</w:t>
      </w:r>
      <w:r w:rsidRPr="00DF51E7">
        <w:rPr>
          <w:szCs w:val="22"/>
        </w:rPr>
        <w:t xml:space="preserve"> (dvs. allokering af årsværk samt afskrivning på forudgående investeringer i hubben fx til brug af udstyr mv.). </w:t>
      </w:r>
    </w:p>
    <w:p w14:paraId="6ABE64F0" w14:textId="77777777" w:rsidR="00B00EEF" w:rsidRPr="00DF51E7" w:rsidRDefault="00B00EEF" w:rsidP="00DF51E7">
      <w:pPr>
        <w:pStyle w:val="Brdtekst"/>
        <w:spacing w:line="240" w:lineRule="auto"/>
        <w:jc w:val="both"/>
        <w:rPr>
          <w:szCs w:val="22"/>
        </w:rPr>
      </w:pPr>
    </w:p>
    <w:p w14:paraId="253336A3" w14:textId="77777777" w:rsidR="00DF51E7" w:rsidRPr="00DF51E7" w:rsidRDefault="00DF51E7" w:rsidP="00DF51E7">
      <w:pPr>
        <w:pStyle w:val="Brdtekst"/>
        <w:spacing w:line="240" w:lineRule="auto"/>
        <w:jc w:val="both"/>
        <w:rPr>
          <w:szCs w:val="22"/>
        </w:rPr>
      </w:pPr>
      <w:r w:rsidRPr="00DF51E7">
        <w:rPr>
          <w:szCs w:val="22"/>
        </w:rPr>
        <w:t>Kommissionen anbefaler foreløbigt et tilskud på mellem 3,75 – 7,5 mio. kr. per hub årligt, der skal matches nationalt. Tilskuddet fra Digital Europe-programmet kan både finansiere indkøb og afskrivning på udstyr og faciliteter i form af hardware og software, årsværk til at levere digitale transformationsservices til SMV’er og offentlige myndigheder, herunder brug af specialister som underleverandører samt rejseomkostninger til hubbens personale eller partnere i samarbejdsaktiviteter med andre hubs. Overhead beregnes som 7 pct. af omkostningerne, og tilskuddet vil have en længde på 3-7 år.</w:t>
      </w:r>
    </w:p>
    <w:p w14:paraId="38C3D0D3" w14:textId="77777777" w:rsidR="00B00EEF" w:rsidRDefault="00B00EEF" w:rsidP="00DF51E7">
      <w:pPr>
        <w:pStyle w:val="Brdtekst"/>
        <w:spacing w:line="240" w:lineRule="auto"/>
        <w:jc w:val="both"/>
        <w:rPr>
          <w:szCs w:val="22"/>
        </w:rPr>
      </w:pPr>
    </w:p>
    <w:p w14:paraId="4B2EFEAD" w14:textId="77777777" w:rsidR="00DF51E7" w:rsidRPr="00DF51E7" w:rsidRDefault="00DF51E7" w:rsidP="00DF51E7">
      <w:pPr>
        <w:pStyle w:val="Brdtekst"/>
        <w:spacing w:line="240" w:lineRule="auto"/>
        <w:jc w:val="both"/>
        <w:rPr>
          <w:szCs w:val="22"/>
        </w:rPr>
      </w:pPr>
      <w:r w:rsidRPr="00DF51E7">
        <w:rPr>
          <w:szCs w:val="22"/>
        </w:rPr>
        <w:t>De opgaver og rammer, der er givet for European Digital Innovation Hubs i Digital Europe-programmet, varetages i varierende grad i dag af forskellige institutioner i erhvervs- og innovationsfremmesystemet, herunder navnlig af erhvervshusenes vejledning og knudepunktsfunktion, der skal give virksomhederne adgang til relevante ydelser i bl.a. den decentrale erhvervsfremmeindsats, i klynger og hos Godkendte Teknologiske Serviceinstitutter (GTS) samt øvrige statslige finansierings- og tilskudsordninger. Tilsammen er disse aktører afgørende for at levere hubbens kerneservices og være en attraktiv partner i et europæisk netværk af hubs.</w:t>
      </w:r>
    </w:p>
    <w:p w14:paraId="64ED0C63" w14:textId="77777777" w:rsidR="00DF51E7" w:rsidRPr="00DF51E7" w:rsidRDefault="00DF51E7" w:rsidP="00DF51E7">
      <w:pPr>
        <w:jc w:val="both"/>
        <w:rPr>
          <w:szCs w:val="22"/>
        </w:rPr>
      </w:pPr>
    </w:p>
    <w:p w14:paraId="75010E20" w14:textId="77777777" w:rsidR="00DF51E7" w:rsidRPr="00DF51E7" w:rsidRDefault="00DF51E7" w:rsidP="00DF51E7">
      <w:pPr>
        <w:jc w:val="both"/>
        <w:rPr>
          <w:b/>
          <w:bCs/>
          <w:szCs w:val="22"/>
        </w:rPr>
      </w:pPr>
      <w:r w:rsidRPr="00DF51E7">
        <w:rPr>
          <w:b/>
          <w:bCs/>
          <w:szCs w:val="22"/>
        </w:rPr>
        <w:t>2. Dansk udvælgelsesproces</w:t>
      </w:r>
    </w:p>
    <w:p w14:paraId="4487CB80" w14:textId="77777777" w:rsidR="00B00EEF" w:rsidRPr="00DF51E7" w:rsidRDefault="00DF51E7" w:rsidP="00DF51E7">
      <w:pPr>
        <w:pStyle w:val="Brdtekst"/>
        <w:spacing w:before="240" w:line="240" w:lineRule="auto"/>
        <w:jc w:val="both"/>
        <w:rPr>
          <w:szCs w:val="22"/>
        </w:rPr>
      </w:pPr>
      <w:r w:rsidRPr="00DF51E7">
        <w:rPr>
          <w:szCs w:val="22"/>
        </w:rPr>
        <w:t>På den baggrund lægges op til en udvælgelsesproces, hvor erhvervshusene og de øvrige relevante erhvervs- og innovationsfremmeaktører skal gå sammen i konsortier og ansøge om at varetage rollen som danske European Digital Innovation Hubs. Processen vil lede frem til, at der fra dansk side maksimalt indstilles seks kandidater til European Digital Innovation Hubs.</w:t>
      </w:r>
    </w:p>
    <w:p w14:paraId="2896BA4E" w14:textId="77777777" w:rsidR="00B00EEF" w:rsidRDefault="00B00EEF" w:rsidP="00DF51E7">
      <w:pPr>
        <w:pStyle w:val="Brdtekst"/>
        <w:jc w:val="both"/>
        <w:rPr>
          <w:szCs w:val="22"/>
        </w:rPr>
      </w:pPr>
    </w:p>
    <w:p w14:paraId="3975FCC8" w14:textId="77777777" w:rsidR="00DF51E7" w:rsidRDefault="00DF51E7" w:rsidP="00DF51E7">
      <w:pPr>
        <w:pStyle w:val="Brdtekst"/>
        <w:jc w:val="both"/>
        <w:rPr>
          <w:szCs w:val="22"/>
        </w:rPr>
      </w:pPr>
      <w:r w:rsidRPr="00DF51E7">
        <w:rPr>
          <w:szCs w:val="22"/>
        </w:rPr>
        <w:t>Erhvervshusene vil i de enkelte hubs få til opgave at sikre, at hubben bliver den ”</w:t>
      </w:r>
      <w:proofErr w:type="spellStart"/>
      <w:r w:rsidRPr="00DF51E7">
        <w:rPr>
          <w:szCs w:val="22"/>
        </w:rPr>
        <w:t>one</w:t>
      </w:r>
      <w:proofErr w:type="spellEnd"/>
      <w:r w:rsidRPr="00DF51E7">
        <w:rPr>
          <w:szCs w:val="22"/>
        </w:rPr>
        <w:t>-stop shop”, dvs. knudepunkt, som har indgående kendskab til regionens virksomheder, og at hubbens tjenester når ud decentralt. Erhvervshuset skal således sikre, at European Digital Innovation Hub anvendes til at skabe værdi og forankres i den regionale økonomi og fremmer den digitale transformation i erhvervshusenes opland. Klynger, Godkendte Teknologiske Institutter (</w:t>
      </w:r>
      <w:proofErr w:type="spellStart"/>
      <w:r w:rsidRPr="00DF51E7">
        <w:rPr>
          <w:szCs w:val="22"/>
        </w:rPr>
        <w:t>GTS’er</w:t>
      </w:r>
      <w:proofErr w:type="spellEnd"/>
      <w:r w:rsidRPr="00DF51E7">
        <w:rPr>
          <w:szCs w:val="22"/>
        </w:rPr>
        <w:t xml:space="preserve">) </w:t>
      </w:r>
      <w:r w:rsidRPr="00DF51E7">
        <w:rPr>
          <w:szCs w:val="22"/>
        </w:rPr>
        <w:lastRenderedPageBreak/>
        <w:t xml:space="preserve">og </w:t>
      </w:r>
      <w:proofErr w:type="spellStart"/>
      <w:r w:rsidRPr="00DF51E7">
        <w:rPr>
          <w:szCs w:val="22"/>
        </w:rPr>
        <w:t>videninstitutioner</w:t>
      </w:r>
      <w:proofErr w:type="spellEnd"/>
      <w:r w:rsidRPr="00DF51E7">
        <w:rPr>
          <w:szCs w:val="22"/>
        </w:rPr>
        <w:t xml:space="preserve"> i konsortiet om hubben vil tilvejebringe den teknologiske og sektorspecifikke ekspertise, som vil være afgørende for at levere hubbens kerneservices og være en attraktiv partner i et europæisk netværk af hubs. </w:t>
      </w:r>
    </w:p>
    <w:p w14:paraId="7E6F5234" w14:textId="77777777" w:rsidR="00B00EEF" w:rsidRPr="00DF51E7" w:rsidRDefault="00B00EEF" w:rsidP="00DF51E7">
      <w:pPr>
        <w:pStyle w:val="Brdtekst"/>
        <w:jc w:val="both"/>
        <w:rPr>
          <w:szCs w:val="22"/>
        </w:rPr>
      </w:pPr>
    </w:p>
    <w:p w14:paraId="0FB19505" w14:textId="77777777" w:rsidR="00DF51E7" w:rsidRDefault="00DF51E7" w:rsidP="00DF51E7">
      <w:pPr>
        <w:pStyle w:val="Brdtekst"/>
        <w:jc w:val="both"/>
        <w:rPr>
          <w:szCs w:val="22"/>
        </w:rPr>
      </w:pPr>
      <w:r w:rsidRPr="00DF51E7">
        <w:rPr>
          <w:szCs w:val="22"/>
        </w:rPr>
        <w:t>Der lægges således op til, at hubs-opgaven og de tilhørende midler kan tildeles konsortier af eksisterende innovations- og erhvervsfremmeaktører, som kan samarbejde om at anvende midlerne til at styrke de opgaver, som de i høj grad allerede udfører. Den danske udvælgelsesproces sammentænkes med og bygger således ovenpå de eksisterende strukturer i erhvervsfremmesystemet og den arbejdsdeling, der er fastlagt i lov om erhvervsfremme, da hubs vil bestå af konsortium ml. erhvervshuse og de mere specialiserede tilbud i form af klynger, Godkendte Teknologiske Serviceinstitutter (</w:t>
      </w:r>
      <w:proofErr w:type="spellStart"/>
      <w:r w:rsidRPr="00DF51E7">
        <w:rPr>
          <w:szCs w:val="22"/>
        </w:rPr>
        <w:t>GTS’ere</w:t>
      </w:r>
      <w:proofErr w:type="spellEnd"/>
      <w:r w:rsidRPr="00DF51E7">
        <w:rPr>
          <w:szCs w:val="22"/>
        </w:rPr>
        <w:t>), viden- og forskningsinstitutioner mv. Det vil modvirke overlap og knopskydning samt målrette ressourcerne. Der lægges desuden op til, at udvælgelsen af konsortier for digitale hubs skal være geografisk spredt og på den måde komme hele landet til gode. De digitale hubs skal samtidig understøtte, at virksomhederne henvises til den mest kompetente partner uanset geografisk placering.</w:t>
      </w:r>
    </w:p>
    <w:p w14:paraId="2AAEABAC" w14:textId="77777777" w:rsidR="00B00EEF" w:rsidRPr="00DF51E7" w:rsidRDefault="00B00EEF" w:rsidP="00DF51E7">
      <w:pPr>
        <w:pStyle w:val="Brdtekst"/>
        <w:jc w:val="both"/>
        <w:rPr>
          <w:szCs w:val="22"/>
        </w:rPr>
      </w:pPr>
    </w:p>
    <w:p w14:paraId="09FCAA92" w14:textId="77777777" w:rsidR="00DF51E7" w:rsidRPr="00DF51E7" w:rsidRDefault="00DF51E7" w:rsidP="00DF51E7">
      <w:pPr>
        <w:pStyle w:val="Brdtekst"/>
        <w:jc w:val="both"/>
        <w:rPr>
          <w:i/>
          <w:szCs w:val="22"/>
        </w:rPr>
      </w:pPr>
      <w:r w:rsidRPr="00DF51E7">
        <w:rPr>
          <w:i/>
          <w:szCs w:val="22"/>
        </w:rPr>
        <w:t>National medfinansiering</w:t>
      </w:r>
    </w:p>
    <w:p w14:paraId="3D2868A6" w14:textId="77777777" w:rsidR="00DF51E7" w:rsidRPr="00DF51E7" w:rsidRDefault="00DF51E7" w:rsidP="00DF51E7">
      <w:pPr>
        <w:pStyle w:val="Brdtekst"/>
        <w:jc w:val="both"/>
        <w:rPr>
          <w:szCs w:val="22"/>
        </w:rPr>
      </w:pPr>
      <w:r w:rsidRPr="00DF51E7">
        <w:rPr>
          <w:szCs w:val="22"/>
        </w:rPr>
        <w:t xml:space="preserve">Udmøntning af EU-midlerne til digitale hubs forudsætter national medfinansiering på min. 50 pct. Det stilles som krav til ansøgerne ifm. udbuddet. Hertil bemærkes, at konsortiet som medfinansiering har mulighed for at anføre de midler, de allerede har afsat til eksisterende opgaver, der er sammenfaldende med </w:t>
      </w:r>
      <w:proofErr w:type="spellStart"/>
      <w:r w:rsidRPr="00DF51E7">
        <w:rPr>
          <w:szCs w:val="22"/>
        </w:rPr>
        <w:t>hubsenes</w:t>
      </w:r>
      <w:proofErr w:type="spellEnd"/>
      <w:r w:rsidRPr="00DF51E7">
        <w:rPr>
          <w:szCs w:val="22"/>
        </w:rPr>
        <w:t xml:space="preserve"> kerneopgaver. Ansøgerne skal således øremærke midler, årsværk og afskrivning på faciliteter og udstyr svarende til den EU-finansiering, de ønsker at opnå som hubs. Derudover vil de pågældende hubs også have mulighed for at søge yderligere national medfinansiering. Erhvervsstyrelsen er i den forbindelse ved at afklare, hvorvidt der på sigt kan søges midler fra Regionalfonden, i regi af regionalfondsprogrammet gældende fra 2021. Det vil indebære. at Danmarks Erhvervsfremmebestyrelse, der indstiller udmøntning af Regionalfonden til Erhvervsstyrelsen, skal tage stilling til, hvorvidt bestyrelsen ønsker at medfinansiere aktiviteter i de kommende konsortier for European Digital Innovation Hubs.</w:t>
      </w:r>
    </w:p>
    <w:p w14:paraId="52437854" w14:textId="77777777" w:rsidR="00DF51E7" w:rsidRPr="00DF51E7" w:rsidRDefault="00DF51E7" w:rsidP="00DF51E7">
      <w:pPr>
        <w:jc w:val="both"/>
        <w:rPr>
          <w:szCs w:val="22"/>
        </w:rPr>
      </w:pPr>
    </w:p>
    <w:p w14:paraId="016C080F" w14:textId="77777777" w:rsidR="00DF51E7" w:rsidRPr="00DF51E7" w:rsidRDefault="00DF51E7" w:rsidP="00DF51E7">
      <w:pPr>
        <w:tabs>
          <w:tab w:val="left" w:pos="3155"/>
        </w:tabs>
        <w:jc w:val="both"/>
        <w:rPr>
          <w:b/>
          <w:bCs/>
          <w:szCs w:val="22"/>
        </w:rPr>
      </w:pPr>
      <w:r w:rsidRPr="00DF51E7">
        <w:rPr>
          <w:b/>
          <w:bCs/>
          <w:szCs w:val="22"/>
        </w:rPr>
        <w:t>3. Krav til ansøgning</w:t>
      </w:r>
      <w:r w:rsidRPr="00DF51E7">
        <w:rPr>
          <w:b/>
          <w:bCs/>
          <w:szCs w:val="22"/>
        </w:rPr>
        <w:tab/>
      </w:r>
    </w:p>
    <w:p w14:paraId="287DDD40" w14:textId="77777777" w:rsidR="00DF51E7" w:rsidRPr="00DF51E7" w:rsidRDefault="00DF51E7" w:rsidP="00DF51E7">
      <w:pPr>
        <w:spacing w:before="240"/>
        <w:jc w:val="both"/>
        <w:rPr>
          <w:szCs w:val="22"/>
        </w:rPr>
      </w:pPr>
      <w:r w:rsidRPr="00DF51E7">
        <w:rPr>
          <w:szCs w:val="22"/>
        </w:rPr>
        <w:t>Følgende overordnede retningslinjer gælder for ansøgninger til de danske kandidater til hubs:</w:t>
      </w:r>
    </w:p>
    <w:p w14:paraId="7F9DA3C2" w14:textId="77777777" w:rsidR="00DF51E7" w:rsidRPr="00DF51E7" w:rsidRDefault="00DF51E7" w:rsidP="00DF51E7">
      <w:pPr>
        <w:jc w:val="both"/>
        <w:rPr>
          <w:szCs w:val="22"/>
        </w:rPr>
      </w:pPr>
    </w:p>
    <w:p w14:paraId="5DA04811" w14:textId="77777777" w:rsidR="00DF51E7" w:rsidRPr="00DF51E7" w:rsidRDefault="00DF51E7" w:rsidP="00DF51E7">
      <w:pPr>
        <w:pStyle w:val="Brdtekst"/>
        <w:numPr>
          <w:ilvl w:val="0"/>
          <w:numId w:val="2"/>
        </w:numPr>
        <w:tabs>
          <w:tab w:val="left" w:pos="340"/>
        </w:tabs>
        <w:spacing w:after="120"/>
        <w:jc w:val="both"/>
        <w:rPr>
          <w:szCs w:val="22"/>
        </w:rPr>
      </w:pPr>
      <w:r w:rsidRPr="00DF51E7">
        <w:rPr>
          <w:szCs w:val="22"/>
        </w:rPr>
        <w:t xml:space="preserve">Erhvervshusene inviteres til at byde ind med et konsortium med samarbejdsaktører. Det samlede konsortium udgør hubben. To erhvervshuse kan vælge at gå sammen om en fælles ansøgning, </w:t>
      </w:r>
      <w:proofErr w:type="gramStart"/>
      <w:r w:rsidRPr="00DF51E7">
        <w:rPr>
          <w:szCs w:val="22"/>
        </w:rPr>
        <w:t>såfremt</w:t>
      </w:r>
      <w:proofErr w:type="gramEnd"/>
      <w:r w:rsidRPr="00DF51E7">
        <w:rPr>
          <w:szCs w:val="22"/>
        </w:rPr>
        <w:t xml:space="preserve"> det ikke underminerer hubbens regionale forankring.</w:t>
      </w:r>
    </w:p>
    <w:p w14:paraId="68F99CB3" w14:textId="77777777" w:rsidR="00DF51E7" w:rsidRPr="00DF51E7" w:rsidRDefault="00DF51E7" w:rsidP="00DF51E7">
      <w:pPr>
        <w:pStyle w:val="Brdtekst"/>
        <w:numPr>
          <w:ilvl w:val="0"/>
          <w:numId w:val="2"/>
        </w:numPr>
        <w:tabs>
          <w:tab w:val="left" w:pos="340"/>
        </w:tabs>
        <w:spacing w:after="120"/>
        <w:jc w:val="both"/>
        <w:rPr>
          <w:szCs w:val="22"/>
        </w:rPr>
      </w:pPr>
      <w:r w:rsidRPr="00DF51E7">
        <w:rPr>
          <w:szCs w:val="22"/>
        </w:rPr>
        <w:t xml:space="preserve">Erhvervshusene skal på baggrund af en åben proces danne et konsortium med de primære samarbejdsaktører såsom klyngeorganisationer, </w:t>
      </w:r>
      <w:proofErr w:type="spellStart"/>
      <w:r w:rsidRPr="00DF51E7">
        <w:rPr>
          <w:szCs w:val="22"/>
        </w:rPr>
        <w:t>GTS’er</w:t>
      </w:r>
      <w:proofErr w:type="spellEnd"/>
      <w:r w:rsidRPr="00DF51E7">
        <w:rPr>
          <w:szCs w:val="22"/>
        </w:rPr>
        <w:t>, universiteter mv. Udvælgelsen vil skulle ske i henhold til den arbejdsdeling mellem aktørerne, der følger af lov om erhvervsfremme, herunder konsolidering af klyngeområdet.</w:t>
      </w:r>
    </w:p>
    <w:p w14:paraId="4AFD67C7" w14:textId="77777777" w:rsidR="00DF51E7" w:rsidRPr="00DF51E7" w:rsidRDefault="00DF51E7" w:rsidP="00DF51E7">
      <w:pPr>
        <w:pStyle w:val="Brdtekst"/>
        <w:numPr>
          <w:ilvl w:val="0"/>
          <w:numId w:val="2"/>
        </w:numPr>
        <w:tabs>
          <w:tab w:val="left" w:pos="340"/>
        </w:tabs>
        <w:spacing w:after="120"/>
        <w:jc w:val="both"/>
        <w:rPr>
          <w:szCs w:val="22"/>
        </w:rPr>
      </w:pPr>
      <w:r w:rsidRPr="00DF51E7">
        <w:rPr>
          <w:szCs w:val="22"/>
        </w:rPr>
        <w:lastRenderedPageBreak/>
        <w:t>Der stilles krav om, at en eller flere konsoliderede klyngeorganisationer, som er relevante for hubbens fokusområder, og som er eller forventes udvalgt af uddannelses- og forskningsministeren, aktivt indgår i konsortiet. Det vil være tilstrækkeligt, at klyngeorganisationerne har søgt om udpegning gennem klyngeprogrammet "Innovationskraft: Danske klynger for viden og erhverv 2021-2024" på tidspunktet for ansøgningen. Udvælgelsen skal senere kunne dokumenteres; ellers kan klyngen ikke indgå som del af konsortiet.</w:t>
      </w:r>
    </w:p>
    <w:p w14:paraId="76831495" w14:textId="77777777" w:rsidR="00DF51E7" w:rsidRPr="00DF51E7" w:rsidRDefault="00DF51E7" w:rsidP="00DF51E7">
      <w:pPr>
        <w:pStyle w:val="Brdtekst"/>
        <w:numPr>
          <w:ilvl w:val="0"/>
          <w:numId w:val="2"/>
        </w:numPr>
        <w:tabs>
          <w:tab w:val="left" w:pos="340"/>
        </w:tabs>
        <w:spacing w:after="120"/>
        <w:jc w:val="both"/>
        <w:rPr>
          <w:szCs w:val="22"/>
        </w:rPr>
      </w:pPr>
      <w:r w:rsidRPr="00DF51E7">
        <w:rPr>
          <w:szCs w:val="22"/>
        </w:rPr>
        <w:t xml:space="preserve">Konsortiet om hubben skal levere på de fire kerneopgaver for hubs, som Kommissionen har defineret (se nærmere i retningslinjer fra Kommissionen </w:t>
      </w:r>
      <w:hyperlink r:id="rId8" w:history="1">
        <w:r w:rsidRPr="00DF51E7">
          <w:rPr>
            <w:rStyle w:val="Hyperlink"/>
            <w:szCs w:val="22"/>
          </w:rPr>
          <w:t>her</w:t>
        </w:r>
      </w:hyperlink>
      <w:r w:rsidRPr="00DF51E7">
        <w:rPr>
          <w:szCs w:val="22"/>
        </w:rPr>
        <w:t xml:space="preserve">): 1. Test før investering, 2. Færdigheder og træning, 3. Støtte til at finde investeringer og 4. Innovationsøkosystemer og netværksmuligheder. </w:t>
      </w:r>
    </w:p>
    <w:p w14:paraId="1DB9896C" w14:textId="77777777" w:rsidR="00DF51E7" w:rsidRPr="00DF51E7" w:rsidRDefault="00DF51E7" w:rsidP="00DF51E7">
      <w:pPr>
        <w:pStyle w:val="Brdtekst"/>
        <w:numPr>
          <w:ilvl w:val="0"/>
          <w:numId w:val="2"/>
        </w:numPr>
        <w:tabs>
          <w:tab w:val="left" w:pos="340"/>
        </w:tabs>
        <w:spacing w:after="120"/>
        <w:jc w:val="both"/>
        <w:rPr>
          <w:szCs w:val="22"/>
        </w:rPr>
      </w:pPr>
      <w:r w:rsidRPr="00DF51E7">
        <w:rPr>
          <w:szCs w:val="22"/>
        </w:rPr>
        <w:t>Erhvervshusene skal løfte knudepunktsfunktion og dermed opfylde princip om ”</w:t>
      </w:r>
      <w:proofErr w:type="spellStart"/>
      <w:r w:rsidRPr="00DF51E7">
        <w:rPr>
          <w:szCs w:val="22"/>
        </w:rPr>
        <w:t>one</w:t>
      </w:r>
      <w:proofErr w:type="spellEnd"/>
      <w:r w:rsidRPr="00DF51E7">
        <w:rPr>
          <w:szCs w:val="22"/>
        </w:rPr>
        <w:t xml:space="preserve"> stop shop” for hubben, som er defineret af Kommissionen. Det indebærer, at Erhvervshusene som led i hubs-konsortiet skal anvise, hvordan de som del af hubben vil styrke deres indsats inden for følgende opgaver: Lokalt knudepunkt, screening af relevante virksomheder, 1:1 vejledning i digital transformation og optag af teknologier, støtte til at finde investeringer, aktiviteter relateret kurser og træning og administration af EU-tilskuddet. </w:t>
      </w:r>
    </w:p>
    <w:p w14:paraId="71D9C049" w14:textId="77777777" w:rsidR="00DF51E7" w:rsidRPr="00DF51E7" w:rsidRDefault="00DF51E7" w:rsidP="00DF51E7">
      <w:pPr>
        <w:pStyle w:val="Brdtekst"/>
        <w:numPr>
          <w:ilvl w:val="0"/>
          <w:numId w:val="2"/>
        </w:numPr>
        <w:tabs>
          <w:tab w:val="left" w:pos="340"/>
        </w:tabs>
        <w:spacing w:after="120"/>
        <w:jc w:val="both"/>
        <w:rPr>
          <w:szCs w:val="22"/>
        </w:rPr>
      </w:pPr>
      <w:bookmarkStart w:id="2" w:name="_Hlk33607070"/>
      <w:r w:rsidRPr="00DF51E7">
        <w:rPr>
          <w:szCs w:val="22"/>
        </w:rPr>
        <w:t xml:space="preserve">Hubbens opgaver inden for facilitering af innovationssamarbejde samt opbygning af innovationsøkosystemer og netværk skal løses sammen med den eller de deltagende klynger. </w:t>
      </w:r>
    </w:p>
    <w:bookmarkEnd w:id="2"/>
    <w:p w14:paraId="49B2985F" w14:textId="77777777" w:rsidR="00DF51E7" w:rsidRPr="00DF51E7" w:rsidRDefault="00DF51E7" w:rsidP="00DF51E7">
      <w:pPr>
        <w:pStyle w:val="Brdtekst"/>
        <w:numPr>
          <w:ilvl w:val="0"/>
          <w:numId w:val="2"/>
        </w:numPr>
        <w:tabs>
          <w:tab w:val="left" w:pos="340"/>
        </w:tabs>
        <w:spacing w:after="120"/>
        <w:jc w:val="both"/>
        <w:rPr>
          <w:szCs w:val="22"/>
        </w:rPr>
      </w:pPr>
      <w:proofErr w:type="spellStart"/>
      <w:r w:rsidRPr="00DF51E7">
        <w:rPr>
          <w:szCs w:val="22"/>
        </w:rPr>
        <w:t>GTS’ere</w:t>
      </w:r>
      <w:proofErr w:type="spellEnd"/>
      <w:r w:rsidRPr="00DF51E7">
        <w:rPr>
          <w:szCs w:val="22"/>
        </w:rPr>
        <w:t xml:space="preserve">, </w:t>
      </w:r>
      <w:proofErr w:type="spellStart"/>
      <w:r w:rsidRPr="00DF51E7">
        <w:rPr>
          <w:szCs w:val="22"/>
        </w:rPr>
        <w:t>videninstitutioner</w:t>
      </w:r>
      <w:proofErr w:type="spellEnd"/>
      <w:r w:rsidRPr="00DF51E7">
        <w:rPr>
          <w:szCs w:val="22"/>
        </w:rPr>
        <w:t xml:space="preserve"> eller klyngeorganisationer skal løfte de opgaver, der kræver testfaciliteter eller avanceret teknisk ekspertise, herunder højt specialiseret viden inden for kunstig intelligens, high performance </w:t>
      </w:r>
      <w:proofErr w:type="spellStart"/>
      <w:r w:rsidRPr="00DF51E7">
        <w:rPr>
          <w:szCs w:val="22"/>
        </w:rPr>
        <w:t>computing</w:t>
      </w:r>
      <w:proofErr w:type="spellEnd"/>
      <w:r w:rsidRPr="00DF51E7">
        <w:rPr>
          <w:szCs w:val="22"/>
        </w:rPr>
        <w:t xml:space="preserve"> og it-sikkerhed.</w:t>
      </w:r>
    </w:p>
    <w:p w14:paraId="638C450F" w14:textId="77777777" w:rsidR="00DF51E7" w:rsidRPr="00DF51E7" w:rsidRDefault="00DF51E7" w:rsidP="00DF51E7">
      <w:pPr>
        <w:pStyle w:val="Brdtekst"/>
        <w:numPr>
          <w:ilvl w:val="0"/>
          <w:numId w:val="2"/>
        </w:numPr>
        <w:tabs>
          <w:tab w:val="left" w:pos="340"/>
        </w:tabs>
        <w:spacing w:after="120"/>
        <w:jc w:val="both"/>
        <w:rPr>
          <w:szCs w:val="22"/>
        </w:rPr>
      </w:pPr>
      <w:r w:rsidRPr="00DF51E7">
        <w:rPr>
          <w:szCs w:val="22"/>
        </w:rPr>
        <w:t xml:space="preserve">Det samlede konsortium om en hub skal have et særligt fokus på hele eller dele af et eller flere erhvervs- og teknologiområder (styrkepositioner og spirende områder), herunder relaterede regionale erhvervspotentialer, der er udpeget i Danmarks Erhvervsfremmebestyrelses strategi </w:t>
      </w:r>
      <w:r w:rsidRPr="00DF51E7">
        <w:rPr>
          <w:i/>
          <w:iCs/>
          <w:szCs w:val="22"/>
        </w:rPr>
        <w:t>Erhvervsfremme i Danmark 2020-2023</w:t>
      </w:r>
      <w:r w:rsidRPr="00DF51E7">
        <w:rPr>
          <w:szCs w:val="22"/>
        </w:rPr>
        <w:t>.</w:t>
      </w:r>
      <w:bookmarkStart w:id="3" w:name="_Hlk33606952"/>
      <w:bookmarkEnd w:id="3"/>
    </w:p>
    <w:p w14:paraId="17423468" w14:textId="77777777" w:rsidR="00DF51E7" w:rsidRPr="00DF51E7" w:rsidRDefault="00DF51E7" w:rsidP="00DF51E7">
      <w:pPr>
        <w:pStyle w:val="Brdtekst"/>
        <w:numPr>
          <w:ilvl w:val="0"/>
          <w:numId w:val="2"/>
        </w:numPr>
        <w:tabs>
          <w:tab w:val="left" w:pos="340"/>
        </w:tabs>
        <w:spacing w:after="120"/>
        <w:jc w:val="both"/>
        <w:rPr>
          <w:szCs w:val="22"/>
        </w:rPr>
      </w:pPr>
      <w:r w:rsidRPr="00DF51E7">
        <w:rPr>
          <w:szCs w:val="22"/>
        </w:rPr>
        <w:t>Som minimum skal en af de danske kandidater til hubs have kunstig intelligens som fokusområde.</w:t>
      </w:r>
    </w:p>
    <w:p w14:paraId="61E13918" w14:textId="77777777" w:rsidR="00DF51E7" w:rsidRPr="00DF51E7" w:rsidRDefault="00DF51E7" w:rsidP="00DF51E7">
      <w:pPr>
        <w:spacing w:after="31"/>
        <w:ind w:left="-5" w:right="1097"/>
        <w:jc w:val="both"/>
        <w:rPr>
          <w:rFonts w:eastAsia="Calibri"/>
          <w:szCs w:val="22"/>
        </w:rPr>
      </w:pPr>
    </w:p>
    <w:p w14:paraId="18583A38" w14:textId="77777777" w:rsidR="00DF51E7" w:rsidRPr="00DF51E7" w:rsidRDefault="00DF51E7" w:rsidP="00DF51E7">
      <w:pPr>
        <w:spacing w:after="31"/>
        <w:ind w:left="-5" w:right="1097"/>
        <w:jc w:val="both"/>
        <w:rPr>
          <w:rFonts w:eastAsia="Calibri"/>
          <w:szCs w:val="22"/>
          <w:u w:val="single"/>
        </w:rPr>
      </w:pPr>
      <w:r w:rsidRPr="00DF51E7">
        <w:rPr>
          <w:rFonts w:eastAsia="Calibri"/>
          <w:szCs w:val="22"/>
          <w:u w:val="single"/>
        </w:rPr>
        <w:t>Ansøgningen skal indeholde følgende:</w:t>
      </w:r>
    </w:p>
    <w:p w14:paraId="0BBE2A6C" w14:textId="77777777" w:rsidR="00DF51E7" w:rsidRPr="00DF51E7" w:rsidRDefault="00DF51E7" w:rsidP="00DF51E7">
      <w:pPr>
        <w:numPr>
          <w:ilvl w:val="0"/>
          <w:numId w:val="2"/>
        </w:numPr>
        <w:spacing w:line="249" w:lineRule="auto"/>
        <w:ind w:right="1097"/>
        <w:jc w:val="both"/>
        <w:rPr>
          <w:szCs w:val="22"/>
          <w:lang w:val="en-US"/>
        </w:rPr>
      </w:pPr>
      <w:r w:rsidRPr="00DF51E7">
        <w:rPr>
          <w:rFonts w:eastAsia="Calibri"/>
          <w:szCs w:val="22"/>
          <w:lang w:val="en-US"/>
        </w:rPr>
        <w:t xml:space="preserve">En </w:t>
      </w:r>
      <w:proofErr w:type="spellStart"/>
      <w:r w:rsidRPr="00DF51E7">
        <w:rPr>
          <w:rFonts w:eastAsia="Calibri"/>
          <w:szCs w:val="22"/>
          <w:lang w:val="en-US"/>
        </w:rPr>
        <w:t>kort</w:t>
      </w:r>
      <w:proofErr w:type="spellEnd"/>
      <w:r w:rsidRPr="00DF51E7">
        <w:rPr>
          <w:rFonts w:eastAsia="Calibri"/>
          <w:szCs w:val="22"/>
          <w:lang w:val="en-US"/>
        </w:rPr>
        <w:t xml:space="preserve"> </w:t>
      </w:r>
      <w:proofErr w:type="spellStart"/>
      <w:r w:rsidRPr="00DF51E7">
        <w:rPr>
          <w:rFonts w:eastAsia="Calibri"/>
          <w:szCs w:val="22"/>
          <w:lang w:val="en-US"/>
        </w:rPr>
        <w:t>beskrivelse</w:t>
      </w:r>
      <w:proofErr w:type="spellEnd"/>
      <w:r w:rsidRPr="00DF51E7">
        <w:rPr>
          <w:rFonts w:eastAsia="Calibri"/>
          <w:szCs w:val="22"/>
          <w:lang w:val="en-US"/>
        </w:rPr>
        <w:t xml:space="preserve"> </w:t>
      </w:r>
      <w:proofErr w:type="spellStart"/>
      <w:r w:rsidRPr="00DF51E7">
        <w:rPr>
          <w:rFonts w:eastAsia="Calibri"/>
          <w:szCs w:val="22"/>
          <w:lang w:val="en-US"/>
        </w:rPr>
        <w:t>af</w:t>
      </w:r>
      <w:proofErr w:type="spellEnd"/>
      <w:r w:rsidRPr="00DF51E7">
        <w:rPr>
          <w:rFonts w:eastAsia="Calibri"/>
          <w:szCs w:val="22"/>
          <w:lang w:val="en-US"/>
        </w:rPr>
        <w:t xml:space="preserve"> </w:t>
      </w:r>
    </w:p>
    <w:p w14:paraId="196E2DEE" w14:textId="77777777" w:rsidR="00DF51E7" w:rsidRPr="00DF51E7" w:rsidRDefault="00DF51E7" w:rsidP="00DF51E7">
      <w:pPr>
        <w:numPr>
          <w:ilvl w:val="1"/>
          <w:numId w:val="2"/>
        </w:numPr>
        <w:spacing w:line="249" w:lineRule="auto"/>
        <w:ind w:right="1097"/>
        <w:jc w:val="both"/>
        <w:rPr>
          <w:szCs w:val="22"/>
        </w:rPr>
      </w:pPr>
      <w:r w:rsidRPr="00DF51E7">
        <w:rPr>
          <w:rFonts w:eastAsia="Calibri"/>
          <w:szCs w:val="22"/>
        </w:rPr>
        <w:t xml:space="preserve">hvad hubs-konsortiet kan tilbyde, herunder hvilke dele af konsortiet som tilbyder hvilke ydelser. Det skal her beskrives, hvordan konsortiet vil levere på de fire kerneopgaver for hubs. </w:t>
      </w:r>
    </w:p>
    <w:p w14:paraId="32E4BBE2" w14:textId="77777777" w:rsidR="00DF51E7" w:rsidRPr="00DF51E7" w:rsidRDefault="00DF51E7" w:rsidP="00DF51E7">
      <w:pPr>
        <w:numPr>
          <w:ilvl w:val="1"/>
          <w:numId w:val="2"/>
        </w:numPr>
        <w:spacing w:line="249" w:lineRule="auto"/>
        <w:ind w:right="1097"/>
        <w:jc w:val="both"/>
        <w:rPr>
          <w:szCs w:val="22"/>
        </w:rPr>
      </w:pPr>
      <w:r w:rsidRPr="00DF51E7">
        <w:rPr>
          <w:rFonts w:eastAsia="Calibri"/>
          <w:szCs w:val="22"/>
        </w:rPr>
        <w:t>hvilke behov for virksomheder og af offentlig interesse, som hubben adresserer</w:t>
      </w:r>
    </w:p>
    <w:p w14:paraId="0C089E54" w14:textId="77777777" w:rsidR="00DF51E7" w:rsidRPr="00DF51E7" w:rsidRDefault="00DF51E7" w:rsidP="00DF51E7">
      <w:pPr>
        <w:numPr>
          <w:ilvl w:val="1"/>
          <w:numId w:val="2"/>
        </w:numPr>
        <w:spacing w:line="249" w:lineRule="auto"/>
        <w:ind w:right="1097"/>
        <w:jc w:val="both"/>
        <w:rPr>
          <w:szCs w:val="22"/>
        </w:rPr>
      </w:pPr>
      <w:r w:rsidRPr="00DF51E7">
        <w:rPr>
          <w:rFonts w:eastAsia="Calibri"/>
          <w:szCs w:val="22"/>
        </w:rPr>
        <w:lastRenderedPageBreak/>
        <w:t xml:space="preserve">hubbens fokusområde (specialisering) i sammenhæng med </w:t>
      </w:r>
      <w:r w:rsidRPr="00DF51E7">
        <w:rPr>
          <w:rFonts w:eastAsia="Calibri"/>
          <w:i/>
          <w:iCs/>
          <w:szCs w:val="22"/>
        </w:rPr>
        <w:t>Erhvervsfremme i Danmark 2020-2023</w:t>
      </w:r>
    </w:p>
    <w:p w14:paraId="41AEAC18" w14:textId="77777777" w:rsidR="00DF51E7" w:rsidRPr="00DF51E7" w:rsidRDefault="00DF51E7" w:rsidP="00DF51E7">
      <w:pPr>
        <w:numPr>
          <w:ilvl w:val="1"/>
          <w:numId w:val="2"/>
        </w:numPr>
        <w:spacing w:line="249" w:lineRule="auto"/>
        <w:ind w:right="1097"/>
        <w:jc w:val="both"/>
        <w:rPr>
          <w:szCs w:val="22"/>
        </w:rPr>
      </w:pPr>
      <w:r w:rsidRPr="00DF51E7">
        <w:rPr>
          <w:rFonts w:eastAsia="Calibri"/>
          <w:szCs w:val="22"/>
        </w:rPr>
        <w:t>hubbens geografiske område</w:t>
      </w:r>
    </w:p>
    <w:p w14:paraId="650CFBAB" w14:textId="77777777" w:rsidR="00DF51E7" w:rsidRPr="00DF51E7" w:rsidRDefault="00DF51E7" w:rsidP="00DF51E7">
      <w:pPr>
        <w:numPr>
          <w:ilvl w:val="0"/>
          <w:numId w:val="2"/>
        </w:numPr>
        <w:spacing w:line="249" w:lineRule="auto"/>
        <w:ind w:right="1097"/>
        <w:jc w:val="both"/>
        <w:rPr>
          <w:szCs w:val="22"/>
        </w:rPr>
      </w:pPr>
      <w:r w:rsidRPr="00DF51E7">
        <w:rPr>
          <w:rFonts w:eastAsia="Calibri"/>
          <w:szCs w:val="22"/>
        </w:rPr>
        <w:t xml:space="preserve">En kort beskrivelse af konsortiet, som udgør hubben, herunder </w:t>
      </w:r>
    </w:p>
    <w:p w14:paraId="3E1FBEFD" w14:textId="77777777" w:rsidR="00DF51E7" w:rsidRPr="00DF51E7" w:rsidRDefault="00DF51E7" w:rsidP="00DF51E7">
      <w:pPr>
        <w:numPr>
          <w:ilvl w:val="1"/>
          <w:numId w:val="2"/>
        </w:numPr>
        <w:spacing w:line="249" w:lineRule="auto"/>
        <w:ind w:right="1097"/>
        <w:jc w:val="both"/>
        <w:rPr>
          <w:szCs w:val="22"/>
        </w:rPr>
      </w:pPr>
      <w:r w:rsidRPr="00DF51E7">
        <w:rPr>
          <w:rFonts w:eastAsia="Calibri"/>
          <w:szCs w:val="22"/>
        </w:rPr>
        <w:t xml:space="preserve">ledelseskapacitet, personale og tilgængelig infrastruktur </w:t>
      </w:r>
    </w:p>
    <w:p w14:paraId="62EED104" w14:textId="77777777" w:rsidR="00DF51E7" w:rsidRPr="00DF51E7" w:rsidRDefault="00DF51E7" w:rsidP="00DF51E7">
      <w:pPr>
        <w:numPr>
          <w:ilvl w:val="1"/>
          <w:numId w:val="2"/>
        </w:numPr>
        <w:spacing w:line="249" w:lineRule="auto"/>
        <w:ind w:right="1097"/>
        <w:jc w:val="both"/>
        <w:rPr>
          <w:szCs w:val="22"/>
          <w:lang w:val="en-US"/>
        </w:rPr>
      </w:pPr>
      <w:proofErr w:type="spellStart"/>
      <w:r w:rsidRPr="00DF51E7">
        <w:rPr>
          <w:rFonts w:eastAsia="Calibri"/>
          <w:szCs w:val="22"/>
          <w:lang w:val="en-US"/>
        </w:rPr>
        <w:t>konsortiets</w:t>
      </w:r>
      <w:proofErr w:type="spellEnd"/>
      <w:r w:rsidRPr="00DF51E7">
        <w:rPr>
          <w:rFonts w:eastAsia="Calibri"/>
          <w:szCs w:val="22"/>
          <w:lang w:val="en-US"/>
        </w:rPr>
        <w:t xml:space="preserve"> </w:t>
      </w:r>
      <w:proofErr w:type="spellStart"/>
      <w:r w:rsidRPr="00DF51E7">
        <w:rPr>
          <w:rFonts w:eastAsia="Calibri"/>
          <w:szCs w:val="22"/>
          <w:lang w:val="en-US"/>
        </w:rPr>
        <w:t>governancestruktur</w:t>
      </w:r>
      <w:proofErr w:type="spellEnd"/>
    </w:p>
    <w:p w14:paraId="7ED56FE0" w14:textId="77777777" w:rsidR="00DF51E7" w:rsidRPr="00DF51E7" w:rsidRDefault="00DF51E7" w:rsidP="00DF51E7">
      <w:pPr>
        <w:numPr>
          <w:ilvl w:val="0"/>
          <w:numId w:val="2"/>
        </w:numPr>
        <w:spacing w:line="249" w:lineRule="auto"/>
        <w:ind w:right="1097"/>
        <w:jc w:val="both"/>
        <w:rPr>
          <w:szCs w:val="22"/>
        </w:rPr>
      </w:pPr>
      <w:r w:rsidRPr="00DF51E7">
        <w:rPr>
          <w:rFonts w:eastAsia="Calibri"/>
          <w:szCs w:val="22"/>
        </w:rPr>
        <w:t>En kort beskrivelse af evt. planer om at inkludere yderligere partnere i konsortiet frem mod Kommissionens lukkede ansøgningsrunder, herunder beskrivelse af deres rolle og type organisation.</w:t>
      </w:r>
    </w:p>
    <w:p w14:paraId="5D31D404" w14:textId="77777777" w:rsidR="00DF51E7" w:rsidRPr="00DF51E7" w:rsidRDefault="00DF51E7" w:rsidP="00DF51E7">
      <w:pPr>
        <w:pStyle w:val="Brdtekst"/>
        <w:numPr>
          <w:ilvl w:val="0"/>
          <w:numId w:val="2"/>
        </w:numPr>
        <w:tabs>
          <w:tab w:val="left" w:pos="340"/>
        </w:tabs>
        <w:jc w:val="both"/>
        <w:rPr>
          <w:szCs w:val="22"/>
        </w:rPr>
      </w:pPr>
      <w:r w:rsidRPr="00DF51E7">
        <w:rPr>
          <w:szCs w:val="22"/>
        </w:rPr>
        <w:t>Buddet på konsortiet skal indeholde en specificering af, hvilke midler (midler, årsværk, afskrivning</w:t>
      </w:r>
      <w:r w:rsidRPr="00DF51E7">
        <w:rPr>
          <w:rStyle w:val="Fodnotehenvisning"/>
          <w:szCs w:val="22"/>
        </w:rPr>
        <w:footnoteReference w:id="2"/>
      </w:r>
      <w:r w:rsidRPr="00DF51E7">
        <w:rPr>
          <w:szCs w:val="22"/>
        </w:rPr>
        <w:t xml:space="preserve"> på udstyr og faciliteter mv.) der øremærkes fra konsortiet til rollen og aktiviteterne som hubs for den samlede periode, herunder en rimelig fordeling af midlerne på de fire kerneopgaver for hubs. Det øremærkede beløb vil svare til de midler, som hubben ansøger om fra Digital Europe-programmet. Beløbet skal angives som et interval, som rangerer fra det minimum af midler, man kan øremærke og ansøge om til maksimum. </w:t>
      </w:r>
    </w:p>
    <w:p w14:paraId="5B9F902B" w14:textId="77777777" w:rsidR="00DF51E7" w:rsidRPr="00DF51E7" w:rsidRDefault="00DF51E7" w:rsidP="00DF51E7">
      <w:pPr>
        <w:pStyle w:val="Brdtekst"/>
        <w:numPr>
          <w:ilvl w:val="0"/>
          <w:numId w:val="2"/>
        </w:numPr>
        <w:tabs>
          <w:tab w:val="left" w:pos="340"/>
        </w:tabs>
        <w:jc w:val="both"/>
        <w:rPr>
          <w:szCs w:val="22"/>
        </w:rPr>
      </w:pPr>
      <w:r w:rsidRPr="00DF51E7">
        <w:rPr>
          <w:szCs w:val="22"/>
        </w:rPr>
        <w:t>Buddet på et konsortium skal indeholde bud på samarbejde med Enterprise Europe Network Danmark om relevante opgaver.</w:t>
      </w:r>
    </w:p>
    <w:p w14:paraId="136A9EFC" w14:textId="77777777" w:rsidR="00DF51E7" w:rsidRPr="00DF51E7" w:rsidRDefault="00DF51E7" w:rsidP="00DF51E7">
      <w:pPr>
        <w:jc w:val="both"/>
        <w:rPr>
          <w:szCs w:val="22"/>
        </w:rPr>
      </w:pPr>
    </w:p>
    <w:p w14:paraId="7C61E975" w14:textId="77777777" w:rsidR="00DF51E7" w:rsidRPr="00DF51E7" w:rsidRDefault="00DF51E7" w:rsidP="00DF51E7">
      <w:pPr>
        <w:jc w:val="both"/>
        <w:rPr>
          <w:b/>
          <w:bCs/>
          <w:szCs w:val="22"/>
        </w:rPr>
      </w:pPr>
      <w:r w:rsidRPr="00DF51E7">
        <w:rPr>
          <w:b/>
          <w:bCs/>
          <w:szCs w:val="22"/>
        </w:rPr>
        <w:t>4. Ansøgningsproces</w:t>
      </w:r>
    </w:p>
    <w:p w14:paraId="53462B62" w14:textId="77777777" w:rsidR="00DF51E7" w:rsidRPr="00DF51E7" w:rsidRDefault="00DF51E7" w:rsidP="00DF51E7">
      <w:pPr>
        <w:jc w:val="both"/>
        <w:rPr>
          <w:szCs w:val="22"/>
        </w:rPr>
      </w:pPr>
    </w:p>
    <w:tbl>
      <w:tblPr>
        <w:tblStyle w:val="TableNormal1"/>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962"/>
        <w:gridCol w:w="3118"/>
      </w:tblGrid>
      <w:tr w:rsidR="00DF51E7" w:rsidRPr="00DF51E7" w14:paraId="0C32D1DA" w14:textId="77777777" w:rsidTr="00B5761D">
        <w:trPr>
          <w:trHeight w:val="277"/>
        </w:trPr>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B2E6F" w14:textId="77777777" w:rsidR="00DF51E7" w:rsidRPr="00DF51E7" w:rsidRDefault="00DF51E7" w:rsidP="00B5761D">
            <w:pPr>
              <w:pStyle w:val="TableParagraph"/>
              <w:jc w:val="both"/>
              <w:rPr>
                <w:rFonts w:ascii="Times New Roman" w:eastAsiaTheme="minorHAnsi" w:hAnsi="Times New Roman" w:cs="Times New Roman"/>
                <w:sz w:val="22"/>
                <w:lang w:eastAsia="da-DK"/>
              </w:rPr>
            </w:pPr>
            <w:proofErr w:type="spellStart"/>
            <w:r w:rsidRPr="00DF51E7">
              <w:rPr>
                <w:rFonts w:ascii="Times New Roman" w:eastAsiaTheme="minorHAnsi" w:hAnsi="Times New Roman" w:cs="Times New Roman"/>
                <w:sz w:val="22"/>
                <w:lang w:eastAsia="da-DK"/>
              </w:rPr>
              <w:t>Offentliggørelse</w:t>
            </w:r>
            <w:proofErr w:type="spellEnd"/>
            <w:r w:rsidRPr="00DF51E7">
              <w:rPr>
                <w:rFonts w:ascii="Times New Roman" w:eastAsiaTheme="minorHAnsi" w:hAnsi="Times New Roman" w:cs="Times New Roman"/>
                <w:sz w:val="22"/>
                <w:lang w:eastAsia="da-DK"/>
              </w:rPr>
              <w:t xml:space="preserve"> </w:t>
            </w:r>
            <w:proofErr w:type="spellStart"/>
            <w:r w:rsidRPr="00DF51E7">
              <w:rPr>
                <w:rFonts w:ascii="Times New Roman" w:eastAsiaTheme="minorHAnsi" w:hAnsi="Times New Roman" w:cs="Times New Roman"/>
                <w:sz w:val="22"/>
                <w:lang w:eastAsia="da-DK"/>
              </w:rPr>
              <w:t>af</w:t>
            </w:r>
            <w:proofErr w:type="spellEnd"/>
            <w:r w:rsidRPr="00DF51E7">
              <w:rPr>
                <w:rFonts w:ascii="Times New Roman" w:eastAsiaTheme="minorHAnsi" w:hAnsi="Times New Roman" w:cs="Times New Roman"/>
                <w:sz w:val="22"/>
                <w:lang w:eastAsia="da-DK"/>
              </w:rPr>
              <w:t xml:space="preserve"> </w:t>
            </w:r>
            <w:proofErr w:type="spellStart"/>
            <w:r w:rsidRPr="00DF51E7">
              <w:rPr>
                <w:rFonts w:ascii="Times New Roman" w:eastAsiaTheme="minorHAnsi" w:hAnsi="Times New Roman" w:cs="Times New Roman"/>
                <w:sz w:val="22"/>
                <w:lang w:eastAsia="da-DK"/>
              </w:rPr>
              <w:t>opslag</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13E60" w14:textId="77777777" w:rsidR="00DF51E7" w:rsidRPr="00DF51E7" w:rsidRDefault="00B00EEF" w:rsidP="00B5761D">
            <w:pPr>
              <w:pStyle w:val="TableParagraph"/>
              <w:jc w:val="both"/>
              <w:rPr>
                <w:rFonts w:ascii="Times New Roman" w:eastAsiaTheme="minorEastAsia" w:hAnsi="Times New Roman" w:cs="Times New Roman"/>
                <w:sz w:val="22"/>
                <w:lang w:eastAsia="da-DK"/>
              </w:rPr>
            </w:pPr>
            <w:r>
              <w:rPr>
                <w:rFonts w:ascii="Times New Roman" w:hAnsi="Times New Roman" w:cs="Times New Roman"/>
                <w:sz w:val="22"/>
              </w:rPr>
              <w:t>30</w:t>
            </w:r>
            <w:r w:rsidR="00DF51E7" w:rsidRPr="00DF51E7">
              <w:rPr>
                <w:rFonts w:ascii="Times New Roman" w:hAnsi="Times New Roman" w:cs="Times New Roman"/>
                <w:sz w:val="22"/>
              </w:rPr>
              <w:t xml:space="preserve">. </w:t>
            </w:r>
            <w:proofErr w:type="spellStart"/>
            <w:r w:rsidR="00DF51E7" w:rsidRPr="00DF51E7">
              <w:rPr>
                <w:rFonts w:ascii="Times New Roman" w:hAnsi="Times New Roman" w:cs="Times New Roman"/>
                <w:sz w:val="22"/>
              </w:rPr>
              <w:t>ju</w:t>
            </w:r>
            <w:r>
              <w:rPr>
                <w:rFonts w:ascii="Times New Roman" w:hAnsi="Times New Roman" w:cs="Times New Roman"/>
                <w:sz w:val="22"/>
              </w:rPr>
              <w:t>n</w:t>
            </w:r>
            <w:r w:rsidR="00DF51E7" w:rsidRPr="00DF51E7">
              <w:rPr>
                <w:rFonts w:ascii="Times New Roman" w:hAnsi="Times New Roman" w:cs="Times New Roman"/>
                <w:sz w:val="22"/>
              </w:rPr>
              <w:t>i</w:t>
            </w:r>
            <w:proofErr w:type="spellEnd"/>
            <w:r w:rsidR="00DF51E7" w:rsidRPr="00DF51E7">
              <w:rPr>
                <w:rFonts w:ascii="Times New Roman" w:eastAsiaTheme="minorEastAsia" w:hAnsi="Times New Roman" w:cs="Times New Roman"/>
                <w:sz w:val="22"/>
                <w:lang w:eastAsia="da-DK"/>
              </w:rPr>
              <w:t xml:space="preserve"> 2020</w:t>
            </w:r>
            <w:r w:rsidR="00DF51E7" w:rsidRPr="00DF51E7">
              <w:rPr>
                <w:rFonts w:ascii="Times New Roman" w:hAnsi="Times New Roman" w:cs="Times New Roman"/>
                <w:sz w:val="22"/>
              </w:rPr>
              <w:t> </w:t>
            </w:r>
          </w:p>
        </w:tc>
      </w:tr>
      <w:tr w:rsidR="00DF51E7" w:rsidRPr="00DF51E7" w14:paraId="66564A22" w14:textId="77777777" w:rsidTr="00B5761D">
        <w:trPr>
          <w:trHeight w:val="275"/>
        </w:trPr>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95E08" w14:textId="77777777" w:rsidR="00DF51E7" w:rsidRPr="00DF51E7" w:rsidRDefault="00DF51E7" w:rsidP="00B5761D">
            <w:pPr>
              <w:pStyle w:val="TableParagraph"/>
              <w:jc w:val="both"/>
              <w:rPr>
                <w:rFonts w:ascii="Times New Roman" w:eastAsiaTheme="minorHAnsi" w:hAnsi="Times New Roman" w:cs="Times New Roman"/>
                <w:sz w:val="22"/>
                <w:lang w:eastAsia="da-DK"/>
              </w:rPr>
            </w:pPr>
            <w:proofErr w:type="spellStart"/>
            <w:r w:rsidRPr="00DF51E7">
              <w:rPr>
                <w:rFonts w:ascii="Times New Roman" w:eastAsiaTheme="minorHAnsi" w:hAnsi="Times New Roman" w:cs="Times New Roman"/>
                <w:sz w:val="22"/>
                <w:lang w:eastAsia="da-DK"/>
              </w:rPr>
              <w:t>Informationswebinar</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91779" w14:textId="77777777" w:rsidR="00DF51E7" w:rsidRPr="00DF51E7" w:rsidRDefault="00DF51E7" w:rsidP="00B5761D">
            <w:pPr>
              <w:pStyle w:val="TableParagraph"/>
              <w:jc w:val="both"/>
              <w:rPr>
                <w:rFonts w:ascii="Times New Roman" w:eastAsiaTheme="minorEastAsia" w:hAnsi="Times New Roman" w:cs="Times New Roman"/>
                <w:sz w:val="22"/>
                <w:lang w:eastAsia="da-DK"/>
              </w:rPr>
            </w:pPr>
            <w:r w:rsidRPr="00DF51E7">
              <w:rPr>
                <w:rFonts w:ascii="Times New Roman" w:hAnsi="Times New Roman" w:cs="Times New Roman"/>
                <w:sz w:val="22"/>
              </w:rPr>
              <w:t xml:space="preserve">2. </w:t>
            </w:r>
            <w:proofErr w:type="spellStart"/>
            <w:r w:rsidRPr="00DF51E7">
              <w:rPr>
                <w:rFonts w:ascii="Times New Roman" w:hAnsi="Times New Roman" w:cs="Times New Roman"/>
                <w:sz w:val="22"/>
              </w:rPr>
              <w:t>juli</w:t>
            </w:r>
            <w:proofErr w:type="spellEnd"/>
            <w:r w:rsidRPr="00DF51E7">
              <w:rPr>
                <w:rFonts w:ascii="Times New Roman" w:eastAsiaTheme="minorEastAsia" w:hAnsi="Times New Roman" w:cs="Times New Roman"/>
                <w:sz w:val="22"/>
                <w:lang w:eastAsia="da-DK"/>
              </w:rPr>
              <w:t xml:space="preserve"> 2020</w:t>
            </w:r>
            <w:r w:rsidRPr="00DF51E7">
              <w:rPr>
                <w:rFonts w:ascii="Times New Roman" w:hAnsi="Times New Roman" w:cs="Times New Roman"/>
                <w:sz w:val="22"/>
              </w:rPr>
              <w:t> </w:t>
            </w:r>
            <w:r w:rsidR="00B00EEF">
              <w:rPr>
                <w:rFonts w:ascii="Times New Roman" w:hAnsi="Times New Roman" w:cs="Times New Roman"/>
                <w:sz w:val="22"/>
              </w:rPr>
              <w:t>kl.10-12</w:t>
            </w:r>
          </w:p>
        </w:tc>
      </w:tr>
      <w:tr w:rsidR="00DF51E7" w:rsidRPr="00DF51E7" w14:paraId="366F5B51" w14:textId="77777777" w:rsidTr="00B5761D">
        <w:trPr>
          <w:trHeight w:val="275"/>
        </w:trPr>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6D7A4" w14:textId="77777777" w:rsidR="00DF51E7" w:rsidRPr="00DF51E7" w:rsidRDefault="00DF51E7" w:rsidP="00B5761D">
            <w:pPr>
              <w:pStyle w:val="TableParagraph"/>
              <w:jc w:val="both"/>
              <w:rPr>
                <w:rFonts w:ascii="Times New Roman" w:eastAsiaTheme="minorHAnsi" w:hAnsi="Times New Roman" w:cs="Times New Roman"/>
                <w:sz w:val="22"/>
                <w:lang w:eastAsia="da-DK"/>
              </w:rPr>
            </w:pPr>
            <w:r w:rsidRPr="00DF51E7">
              <w:rPr>
                <w:rFonts w:ascii="Times New Roman" w:eastAsiaTheme="minorHAnsi" w:hAnsi="Times New Roman" w:cs="Times New Roman"/>
                <w:sz w:val="22"/>
                <w:lang w:eastAsia="da-DK"/>
              </w:rPr>
              <w:t xml:space="preserve">Frist for </w:t>
            </w:r>
            <w:proofErr w:type="spellStart"/>
            <w:r w:rsidRPr="00DF51E7">
              <w:rPr>
                <w:rFonts w:ascii="Times New Roman" w:eastAsiaTheme="minorHAnsi" w:hAnsi="Times New Roman" w:cs="Times New Roman"/>
                <w:sz w:val="22"/>
                <w:lang w:eastAsia="da-DK"/>
              </w:rPr>
              <w:t>ansøgninger</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B6786" w14:textId="77777777" w:rsidR="00DF51E7" w:rsidRPr="00DF51E7" w:rsidRDefault="00DF51E7" w:rsidP="00B5761D">
            <w:pPr>
              <w:pStyle w:val="TableParagraph"/>
              <w:jc w:val="both"/>
              <w:rPr>
                <w:rFonts w:ascii="Times New Roman" w:eastAsiaTheme="minorEastAsia" w:hAnsi="Times New Roman" w:cs="Times New Roman"/>
                <w:sz w:val="22"/>
                <w:lang w:eastAsia="da-DK"/>
              </w:rPr>
            </w:pPr>
            <w:r w:rsidRPr="00DF51E7">
              <w:rPr>
                <w:rFonts w:ascii="Times New Roman" w:eastAsiaTheme="minorEastAsia" w:hAnsi="Times New Roman" w:cs="Times New Roman"/>
                <w:sz w:val="22"/>
                <w:lang w:eastAsia="da-DK"/>
              </w:rPr>
              <w:t xml:space="preserve">15. </w:t>
            </w:r>
            <w:proofErr w:type="spellStart"/>
            <w:r w:rsidRPr="00DF51E7">
              <w:rPr>
                <w:rFonts w:ascii="Times New Roman" w:eastAsiaTheme="minorEastAsia" w:hAnsi="Times New Roman" w:cs="Times New Roman"/>
                <w:sz w:val="22"/>
                <w:lang w:eastAsia="da-DK"/>
              </w:rPr>
              <w:t>september</w:t>
            </w:r>
            <w:proofErr w:type="spellEnd"/>
            <w:r w:rsidRPr="00DF51E7">
              <w:rPr>
                <w:rFonts w:ascii="Times New Roman" w:eastAsiaTheme="minorEastAsia" w:hAnsi="Times New Roman" w:cs="Times New Roman"/>
                <w:sz w:val="22"/>
                <w:lang w:eastAsia="da-DK"/>
              </w:rPr>
              <w:t xml:space="preserve"> 2020 kl. 16</w:t>
            </w:r>
          </w:p>
        </w:tc>
      </w:tr>
      <w:tr w:rsidR="00DF51E7" w:rsidRPr="00DF51E7" w14:paraId="38106811" w14:textId="77777777" w:rsidTr="00B5761D">
        <w:trPr>
          <w:trHeight w:val="275"/>
        </w:trPr>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F11E2" w14:textId="77777777" w:rsidR="00DF51E7" w:rsidRPr="00DF51E7" w:rsidRDefault="00DF51E7" w:rsidP="00B5761D">
            <w:pPr>
              <w:pStyle w:val="TableParagraph"/>
              <w:jc w:val="both"/>
              <w:rPr>
                <w:rFonts w:ascii="Times New Roman" w:eastAsiaTheme="minorEastAsia" w:hAnsi="Times New Roman" w:cs="Times New Roman"/>
                <w:sz w:val="22"/>
                <w:lang w:val="da-DK" w:eastAsia="da-DK"/>
              </w:rPr>
            </w:pPr>
            <w:r w:rsidRPr="00DF51E7">
              <w:rPr>
                <w:rFonts w:ascii="Times New Roman" w:eastAsiaTheme="minorEastAsia" w:hAnsi="Times New Roman" w:cs="Times New Roman"/>
                <w:sz w:val="22"/>
                <w:lang w:val="da-DK" w:eastAsia="da-DK"/>
              </w:rPr>
              <w:t>Evt. opfølgende spørgsmål til ansøgere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DF4AE" w14:textId="77777777" w:rsidR="00DF51E7" w:rsidRPr="00DF51E7" w:rsidRDefault="00DF51E7" w:rsidP="00B5761D">
            <w:pPr>
              <w:pStyle w:val="TableParagraph"/>
              <w:jc w:val="both"/>
              <w:rPr>
                <w:rFonts w:ascii="Times New Roman" w:eastAsiaTheme="minorEastAsia" w:hAnsi="Times New Roman" w:cs="Times New Roman"/>
                <w:sz w:val="22"/>
                <w:lang w:eastAsia="da-DK"/>
              </w:rPr>
            </w:pPr>
            <w:r w:rsidRPr="00DF51E7">
              <w:rPr>
                <w:rFonts w:ascii="Times New Roman" w:eastAsiaTheme="minorEastAsia" w:hAnsi="Times New Roman" w:cs="Times New Roman"/>
                <w:sz w:val="22"/>
                <w:lang w:eastAsia="da-DK"/>
              </w:rPr>
              <w:t>18. - 22. September 2020</w:t>
            </w:r>
          </w:p>
        </w:tc>
      </w:tr>
      <w:tr w:rsidR="00DF51E7" w:rsidRPr="00DF51E7" w14:paraId="00EC523E" w14:textId="77777777" w:rsidTr="00B5761D">
        <w:trPr>
          <w:trHeight w:val="275"/>
        </w:trPr>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51823" w14:textId="77777777" w:rsidR="00DF51E7" w:rsidRPr="00DF51E7" w:rsidRDefault="00DF51E7" w:rsidP="00B5761D">
            <w:pPr>
              <w:pStyle w:val="TableParagraph"/>
              <w:jc w:val="both"/>
              <w:rPr>
                <w:rFonts w:ascii="Times New Roman" w:eastAsiaTheme="minorHAnsi" w:hAnsi="Times New Roman" w:cs="Times New Roman"/>
                <w:sz w:val="22"/>
                <w:lang w:val="da-DK" w:eastAsia="da-DK"/>
              </w:rPr>
            </w:pPr>
            <w:r w:rsidRPr="00DF51E7">
              <w:rPr>
                <w:rFonts w:ascii="Times New Roman" w:eastAsiaTheme="minorHAnsi" w:hAnsi="Times New Roman" w:cs="Times New Roman"/>
                <w:sz w:val="22"/>
                <w:lang w:val="da-DK" w:eastAsia="da-DK"/>
              </w:rPr>
              <w:t>Forelæggelse af indstillede kandidater til erhvervsministeren til godkendelse.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BDDE3" w14:textId="77777777" w:rsidR="00DF51E7" w:rsidRPr="00DF51E7" w:rsidRDefault="00DF51E7" w:rsidP="00B5761D">
            <w:pPr>
              <w:pStyle w:val="TableParagraph"/>
              <w:jc w:val="both"/>
              <w:rPr>
                <w:rFonts w:ascii="Times New Roman" w:eastAsiaTheme="minorEastAsia" w:hAnsi="Times New Roman" w:cs="Times New Roman"/>
                <w:sz w:val="22"/>
                <w:lang w:val="da-DK" w:eastAsia="da-DK"/>
              </w:rPr>
            </w:pPr>
            <w:r w:rsidRPr="00DF51E7">
              <w:rPr>
                <w:rFonts w:ascii="Times New Roman" w:eastAsiaTheme="minorEastAsia" w:hAnsi="Times New Roman" w:cs="Times New Roman"/>
                <w:sz w:val="22"/>
                <w:lang w:eastAsia="da-DK"/>
              </w:rPr>
              <w:t>Ultimo September 2020</w:t>
            </w:r>
          </w:p>
        </w:tc>
      </w:tr>
      <w:tr w:rsidR="00DF51E7" w:rsidRPr="00DF51E7" w14:paraId="48987FCE" w14:textId="77777777" w:rsidTr="00B5761D">
        <w:trPr>
          <w:trHeight w:val="275"/>
        </w:trPr>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BC2E8" w14:textId="77777777" w:rsidR="00DF51E7" w:rsidRPr="00DF51E7" w:rsidRDefault="00DF51E7" w:rsidP="00B5761D">
            <w:pPr>
              <w:pStyle w:val="TableParagraph"/>
              <w:jc w:val="both"/>
              <w:rPr>
                <w:rFonts w:ascii="Times New Roman" w:eastAsiaTheme="minorHAnsi" w:hAnsi="Times New Roman" w:cs="Times New Roman"/>
                <w:sz w:val="22"/>
                <w:lang w:val="da-DK" w:eastAsia="da-DK"/>
              </w:rPr>
            </w:pPr>
            <w:r w:rsidRPr="00DF51E7">
              <w:rPr>
                <w:rFonts w:ascii="Times New Roman" w:eastAsiaTheme="minorHAnsi" w:hAnsi="Times New Roman" w:cs="Times New Roman"/>
                <w:sz w:val="22"/>
                <w:lang w:val="da-DK" w:eastAsia="da-DK"/>
              </w:rPr>
              <w:t>Offentliggørelse af kandidater og indsendelse til Kommissionen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10278" w14:textId="77777777" w:rsidR="00DF51E7" w:rsidRPr="00DF51E7" w:rsidRDefault="00DF51E7" w:rsidP="00B5761D">
            <w:pPr>
              <w:pStyle w:val="TableParagraph"/>
              <w:jc w:val="both"/>
              <w:rPr>
                <w:rFonts w:ascii="Times New Roman" w:eastAsiaTheme="minorHAnsi" w:hAnsi="Times New Roman" w:cs="Times New Roman"/>
                <w:sz w:val="22"/>
                <w:lang w:eastAsia="da-DK"/>
              </w:rPr>
            </w:pPr>
            <w:r w:rsidRPr="00DF51E7">
              <w:rPr>
                <w:rFonts w:ascii="Times New Roman" w:eastAsiaTheme="minorHAnsi" w:hAnsi="Times New Roman" w:cs="Times New Roman"/>
                <w:sz w:val="22"/>
                <w:lang w:eastAsia="da-DK"/>
              </w:rPr>
              <w:t xml:space="preserve">15. </w:t>
            </w:r>
            <w:proofErr w:type="spellStart"/>
            <w:r w:rsidRPr="00DF51E7">
              <w:rPr>
                <w:rFonts w:ascii="Times New Roman" w:eastAsiaTheme="minorHAnsi" w:hAnsi="Times New Roman" w:cs="Times New Roman"/>
                <w:sz w:val="22"/>
                <w:lang w:eastAsia="da-DK"/>
              </w:rPr>
              <w:t>oktober</w:t>
            </w:r>
            <w:proofErr w:type="spellEnd"/>
            <w:r w:rsidRPr="00DF51E7">
              <w:rPr>
                <w:rFonts w:ascii="Times New Roman" w:eastAsiaTheme="minorHAnsi" w:hAnsi="Times New Roman" w:cs="Times New Roman"/>
                <w:sz w:val="22"/>
                <w:lang w:eastAsia="da-DK"/>
              </w:rPr>
              <w:t xml:space="preserve"> 2020</w:t>
            </w:r>
          </w:p>
        </w:tc>
      </w:tr>
      <w:tr w:rsidR="00DF51E7" w:rsidRPr="00DF51E7" w14:paraId="0CBCC811" w14:textId="77777777" w:rsidTr="00B5761D">
        <w:trPr>
          <w:trHeight w:val="275"/>
        </w:trPr>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BE3FA" w14:textId="77777777" w:rsidR="00DF51E7" w:rsidRPr="00DF51E7" w:rsidRDefault="00DF51E7" w:rsidP="00B5761D">
            <w:pPr>
              <w:pStyle w:val="TableParagraph"/>
              <w:jc w:val="both"/>
              <w:rPr>
                <w:rFonts w:ascii="Times New Roman" w:eastAsiaTheme="minorHAnsi" w:hAnsi="Times New Roman" w:cs="Times New Roman"/>
                <w:sz w:val="22"/>
                <w:lang w:val="da-DK" w:eastAsia="da-DK"/>
              </w:rPr>
            </w:pPr>
            <w:r w:rsidRPr="00DF51E7">
              <w:rPr>
                <w:rFonts w:ascii="Times New Roman" w:eastAsiaTheme="minorHAnsi" w:hAnsi="Times New Roman" w:cs="Times New Roman"/>
                <w:sz w:val="22"/>
                <w:lang w:val="da-DK" w:eastAsia="da-DK"/>
              </w:rPr>
              <w:t>Dialog med kandidater om ansøgning til den lukkede proces hos Kommissionen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5A737" w14:textId="77777777" w:rsidR="00DF51E7" w:rsidRPr="00DF51E7" w:rsidRDefault="00DF51E7" w:rsidP="00B5761D">
            <w:pPr>
              <w:pStyle w:val="TableParagraph"/>
              <w:jc w:val="both"/>
              <w:rPr>
                <w:rFonts w:ascii="Times New Roman" w:eastAsiaTheme="minorHAnsi" w:hAnsi="Times New Roman" w:cs="Times New Roman"/>
                <w:sz w:val="22"/>
                <w:lang w:val="da-DK" w:eastAsia="da-DK"/>
              </w:rPr>
            </w:pPr>
            <w:r w:rsidRPr="00DF51E7">
              <w:rPr>
                <w:rFonts w:ascii="Times New Roman" w:eastAsiaTheme="minorHAnsi" w:hAnsi="Times New Roman" w:cs="Times New Roman"/>
                <w:sz w:val="22"/>
                <w:lang w:val="da-DK" w:eastAsia="da-DK"/>
              </w:rPr>
              <w:t>Forventet november-december 2020</w:t>
            </w:r>
          </w:p>
        </w:tc>
      </w:tr>
    </w:tbl>
    <w:p w14:paraId="4153FAE9" w14:textId="77777777" w:rsidR="00DF51E7" w:rsidRPr="00DF51E7" w:rsidRDefault="00DF51E7" w:rsidP="00DF51E7">
      <w:pPr>
        <w:jc w:val="both"/>
        <w:rPr>
          <w:szCs w:val="22"/>
        </w:rPr>
      </w:pPr>
    </w:p>
    <w:p w14:paraId="4DCD821A" w14:textId="77777777" w:rsidR="00B00EEF" w:rsidRDefault="00DF51E7" w:rsidP="00DF51E7">
      <w:pPr>
        <w:jc w:val="both"/>
        <w:rPr>
          <w:szCs w:val="22"/>
        </w:rPr>
      </w:pPr>
      <w:r w:rsidRPr="00DF51E7">
        <w:rPr>
          <w:szCs w:val="22"/>
        </w:rPr>
        <w:t xml:space="preserve">Frist for indsendelse til ansøgninger:  15. september 2020 kl. 16. </w:t>
      </w:r>
    </w:p>
    <w:p w14:paraId="600507E5" w14:textId="77777777" w:rsidR="00DF51E7" w:rsidRPr="00DF51E7" w:rsidRDefault="00DF51E7" w:rsidP="00DF51E7">
      <w:pPr>
        <w:jc w:val="both"/>
        <w:rPr>
          <w:szCs w:val="22"/>
        </w:rPr>
      </w:pPr>
      <w:r w:rsidRPr="00DF51E7">
        <w:rPr>
          <w:szCs w:val="22"/>
        </w:rPr>
        <w:t xml:space="preserve">Indsendes til </w:t>
      </w:r>
      <w:hyperlink r:id="rId9" w:history="1">
        <w:r w:rsidR="00B00EEF" w:rsidRPr="000A4890">
          <w:rPr>
            <w:rStyle w:val="Hyperlink"/>
            <w:szCs w:val="22"/>
          </w:rPr>
          <w:t>cagcit@erst.dk</w:t>
        </w:r>
      </w:hyperlink>
      <w:r w:rsidR="00B00EEF">
        <w:rPr>
          <w:szCs w:val="22"/>
        </w:rPr>
        <w:t xml:space="preserve"> og </w:t>
      </w:r>
      <w:hyperlink r:id="rId10" w:history="1">
        <w:r w:rsidR="00B00EEF" w:rsidRPr="00B00EEF">
          <w:rPr>
            <w:rStyle w:val="Hyperlink"/>
            <w:szCs w:val="22"/>
          </w:rPr>
          <w:t>simhau@erst.dk</w:t>
        </w:r>
      </w:hyperlink>
    </w:p>
    <w:p w14:paraId="3C0CBDF9" w14:textId="77777777" w:rsidR="00B00EEF" w:rsidRDefault="00B00EEF" w:rsidP="00DF51E7">
      <w:pPr>
        <w:autoSpaceDE w:val="0"/>
        <w:autoSpaceDN w:val="0"/>
        <w:adjustRightInd w:val="0"/>
        <w:jc w:val="both"/>
        <w:rPr>
          <w:color w:val="000000" w:themeColor="text1"/>
          <w:szCs w:val="22"/>
        </w:rPr>
      </w:pPr>
    </w:p>
    <w:p w14:paraId="4FE0D4DE" w14:textId="77777777" w:rsidR="00DF51E7" w:rsidRPr="00B00EEF" w:rsidRDefault="00B00EEF" w:rsidP="00B00EEF">
      <w:pPr>
        <w:autoSpaceDE w:val="0"/>
        <w:autoSpaceDN w:val="0"/>
        <w:adjustRightInd w:val="0"/>
        <w:jc w:val="both"/>
        <w:rPr>
          <w:color w:val="000000" w:themeColor="text1"/>
          <w:szCs w:val="22"/>
        </w:rPr>
      </w:pPr>
      <w:r>
        <w:rPr>
          <w:color w:val="000000" w:themeColor="text1"/>
          <w:szCs w:val="22"/>
        </w:rPr>
        <w:t>Ansøgningen s</w:t>
      </w:r>
      <w:r w:rsidR="00DF51E7" w:rsidRPr="00DF51E7">
        <w:rPr>
          <w:color w:val="000000" w:themeColor="text1"/>
          <w:szCs w:val="22"/>
        </w:rPr>
        <w:t xml:space="preserve">endes som </w:t>
      </w:r>
      <w:proofErr w:type="spellStart"/>
      <w:r w:rsidR="00DF51E7" w:rsidRPr="00DF51E7">
        <w:rPr>
          <w:color w:val="000000" w:themeColor="text1"/>
          <w:szCs w:val="22"/>
        </w:rPr>
        <w:t>word</w:t>
      </w:r>
      <w:proofErr w:type="spellEnd"/>
      <w:r w:rsidR="00DF51E7" w:rsidRPr="00DF51E7">
        <w:rPr>
          <w:color w:val="000000" w:themeColor="text1"/>
          <w:szCs w:val="22"/>
        </w:rPr>
        <w:t xml:space="preserve"> eller pdf-fil. </w:t>
      </w:r>
      <w:r>
        <w:rPr>
          <w:color w:val="000000" w:themeColor="text1"/>
          <w:szCs w:val="22"/>
        </w:rPr>
        <w:t>Ansøgningen skal være m</w:t>
      </w:r>
      <w:r w:rsidR="00DF51E7" w:rsidRPr="00DF51E7">
        <w:rPr>
          <w:color w:val="000000" w:themeColor="text1"/>
          <w:szCs w:val="22"/>
        </w:rPr>
        <w:t>aks. 10 sider svarende til 24.000 tegn med mellemrum.</w:t>
      </w:r>
    </w:p>
    <w:p w14:paraId="7F533990" w14:textId="77777777" w:rsidR="00DF51E7" w:rsidRPr="00DF51E7" w:rsidRDefault="00DF51E7" w:rsidP="00DF51E7">
      <w:pPr>
        <w:jc w:val="both"/>
        <w:rPr>
          <w:szCs w:val="22"/>
        </w:rPr>
      </w:pPr>
    </w:p>
    <w:p w14:paraId="36D43F40" w14:textId="77777777" w:rsidR="00DF51E7" w:rsidRPr="00DF51E7" w:rsidRDefault="00DF51E7" w:rsidP="00DF51E7">
      <w:pPr>
        <w:jc w:val="both"/>
        <w:rPr>
          <w:b/>
          <w:bCs/>
          <w:szCs w:val="22"/>
        </w:rPr>
      </w:pPr>
      <w:r w:rsidRPr="00DF51E7">
        <w:rPr>
          <w:b/>
          <w:bCs/>
          <w:szCs w:val="22"/>
        </w:rPr>
        <w:t>5. Generelle støtteberettigelseskriterier</w:t>
      </w:r>
    </w:p>
    <w:p w14:paraId="078B507F" w14:textId="77777777" w:rsidR="00DF51E7" w:rsidRPr="00DF51E7" w:rsidRDefault="00DF51E7" w:rsidP="00DF51E7">
      <w:pPr>
        <w:spacing w:before="240" w:after="273"/>
        <w:ind w:left="-5" w:right="1097"/>
        <w:jc w:val="both"/>
        <w:rPr>
          <w:rFonts w:eastAsia="Calibri"/>
          <w:szCs w:val="22"/>
        </w:rPr>
      </w:pPr>
      <w:r w:rsidRPr="00DF51E7">
        <w:rPr>
          <w:rFonts w:eastAsia="Calibri"/>
          <w:szCs w:val="22"/>
        </w:rPr>
        <w:t>For at kunne komme i betragtning skal ansøgerne leve op til følgende generelle støtteberettigelseskriterier fra Kommissionen:</w:t>
      </w:r>
    </w:p>
    <w:p w14:paraId="069BCE3D" w14:textId="77777777" w:rsidR="00DF51E7" w:rsidRPr="00DF51E7" w:rsidRDefault="00DF51E7" w:rsidP="00DF51E7">
      <w:pPr>
        <w:pStyle w:val="Listeafsnit"/>
        <w:numPr>
          <w:ilvl w:val="0"/>
          <w:numId w:val="4"/>
        </w:numPr>
        <w:spacing w:after="273"/>
        <w:ind w:right="1097"/>
        <w:jc w:val="both"/>
        <w:rPr>
          <w:rFonts w:ascii="Times New Roman" w:eastAsia="Calibri" w:hAnsi="Times New Roman"/>
          <w:sz w:val="22"/>
          <w:szCs w:val="22"/>
        </w:rPr>
      </w:pPr>
      <w:r w:rsidRPr="00DF51E7">
        <w:rPr>
          <w:rFonts w:ascii="Times New Roman" w:eastAsia="Calibri" w:hAnsi="Times New Roman"/>
          <w:sz w:val="22"/>
          <w:szCs w:val="22"/>
        </w:rPr>
        <w:lastRenderedPageBreak/>
        <w:t>Passende kompetencer relateret til funktioner og kerneopgaverne for European Digital Innovation Hubs;</w:t>
      </w:r>
    </w:p>
    <w:p w14:paraId="2243B32F" w14:textId="77777777" w:rsidR="00DF51E7" w:rsidRPr="00DF51E7" w:rsidRDefault="00DF51E7" w:rsidP="00DF51E7">
      <w:pPr>
        <w:pStyle w:val="Listeafsnit"/>
        <w:numPr>
          <w:ilvl w:val="0"/>
          <w:numId w:val="4"/>
        </w:numPr>
        <w:spacing w:after="273"/>
        <w:ind w:right="1097"/>
        <w:jc w:val="both"/>
        <w:rPr>
          <w:rFonts w:ascii="Times New Roman" w:eastAsia="Calibri" w:hAnsi="Times New Roman"/>
          <w:sz w:val="22"/>
          <w:szCs w:val="22"/>
        </w:rPr>
      </w:pPr>
      <w:r w:rsidRPr="00DF51E7">
        <w:rPr>
          <w:rFonts w:ascii="Times New Roman" w:eastAsia="Calibri" w:hAnsi="Times New Roman"/>
          <w:sz w:val="22"/>
          <w:szCs w:val="22"/>
        </w:rPr>
        <w:t>Passende ledelseskapacitet, personale og infrastruktur nødvendige for at udføre hubbens funktioner;</w:t>
      </w:r>
    </w:p>
    <w:p w14:paraId="1A3DCE52" w14:textId="77777777" w:rsidR="00DF51E7" w:rsidRPr="00DF51E7" w:rsidRDefault="00DF51E7" w:rsidP="00DF51E7">
      <w:pPr>
        <w:pStyle w:val="Listeafsnit"/>
        <w:numPr>
          <w:ilvl w:val="0"/>
          <w:numId w:val="4"/>
        </w:numPr>
        <w:spacing w:after="273"/>
        <w:ind w:right="1097"/>
        <w:jc w:val="both"/>
        <w:rPr>
          <w:rFonts w:ascii="Times New Roman" w:eastAsia="Calibri" w:hAnsi="Times New Roman"/>
          <w:sz w:val="22"/>
          <w:szCs w:val="22"/>
        </w:rPr>
      </w:pPr>
      <w:r w:rsidRPr="00DF51E7">
        <w:rPr>
          <w:rFonts w:ascii="Times New Roman" w:eastAsia="Calibri" w:hAnsi="Times New Roman"/>
          <w:sz w:val="22"/>
          <w:szCs w:val="22"/>
        </w:rPr>
        <w:t>Operationelle og juridiske midler for at kunne anvende de administrative, kontraktmæssige og økonomiske forvaltningsregler, der er fastlagt på EU-niveau;</w:t>
      </w:r>
    </w:p>
    <w:p w14:paraId="5020D4C3" w14:textId="77777777" w:rsidR="00DF51E7" w:rsidRPr="00DF51E7" w:rsidRDefault="00DF51E7" w:rsidP="00DF51E7">
      <w:pPr>
        <w:pStyle w:val="Listeafsnit"/>
        <w:numPr>
          <w:ilvl w:val="0"/>
          <w:numId w:val="4"/>
        </w:numPr>
        <w:spacing w:after="273"/>
        <w:ind w:right="1097"/>
        <w:jc w:val="both"/>
        <w:rPr>
          <w:rFonts w:ascii="Times New Roman" w:eastAsia="Calibri" w:hAnsi="Times New Roman"/>
          <w:sz w:val="22"/>
          <w:szCs w:val="22"/>
        </w:rPr>
      </w:pPr>
      <w:r w:rsidRPr="00DF51E7">
        <w:rPr>
          <w:rFonts w:ascii="Times New Roman" w:eastAsia="Calibri" w:hAnsi="Times New Roman"/>
          <w:sz w:val="22"/>
          <w:szCs w:val="22"/>
        </w:rPr>
        <w:t>Passende økonomisk levedygtighed, svarende til niveauet for EU-midler, ansøgeren vil blive bedt om at forvalte og demonstreret, hvor det er relevant, af garantier, der fortrinsvis er udstedt af en offentlig myndighed.</w:t>
      </w:r>
    </w:p>
    <w:p w14:paraId="168F26CB" w14:textId="77777777" w:rsidR="00DF51E7" w:rsidRPr="00DF51E7" w:rsidRDefault="00DF51E7" w:rsidP="00DF51E7">
      <w:pPr>
        <w:ind w:left="-5" w:right="1097"/>
        <w:jc w:val="both"/>
        <w:rPr>
          <w:szCs w:val="22"/>
        </w:rPr>
      </w:pPr>
      <w:r w:rsidRPr="00DF51E7">
        <w:rPr>
          <w:rFonts w:eastAsia="Calibri"/>
          <w:szCs w:val="22"/>
        </w:rPr>
        <w:t xml:space="preserve">Desuden bør alle medlemmer af ansøgende konsortier være registreret i Participant Portal og have en PIC (Participant </w:t>
      </w:r>
      <w:proofErr w:type="spellStart"/>
      <w:r w:rsidRPr="00DF51E7">
        <w:rPr>
          <w:rFonts w:eastAsia="Calibri"/>
          <w:szCs w:val="22"/>
        </w:rPr>
        <w:t>identification</w:t>
      </w:r>
      <w:proofErr w:type="spellEnd"/>
      <w:r w:rsidRPr="00DF51E7">
        <w:rPr>
          <w:rFonts w:eastAsia="Calibri"/>
          <w:szCs w:val="22"/>
        </w:rPr>
        <w:t xml:space="preserve"> </w:t>
      </w:r>
      <w:proofErr w:type="spellStart"/>
      <w:r w:rsidRPr="00DF51E7">
        <w:rPr>
          <w:rFonts w:eastAsia="Calibri"/>
          <w:szCs w:val="22"/>
        </w:rPr>
        <w:t>code</w:t>
      </w:r>
      <w:proofErr w:type="spellEnd"/>
      <w:r w:rsidRPr="00DF51E7">
        <w:rPr>
          <w:rFonts w:eastAsia="Calibri"/>
          <w:szCs w:val="22"/>
        </w:rPr>
        <w:t xml:space="preserve">) for at opfylde de operationelle og juridiske midler for at kunne anvende de administrative, kontraktmæssige og økonomiske forvaltningsregler, der er fastlagt på EU-niveau. </w:t>
      </w:r>
    </w:p>
    <w:p w14:paraId="0CCFE715" w14:textId="77777777" w:rsidR="00DF51E7" w:rsidRPr="00DF51E7" w:rsidRDefault="00DF51E7" w:rsidP="00DF51E7">
      <w:pPr>
        <w:jc w:val="both"/>
        <w:rPr>
          <w:szCs w:val="22"/>
        </w:rPr>
      </w:pPr>
    </w:p>
    <w:p w14:paraId="1EE0BFFC" w14:textId="77777777" w:rsidR="00DF51E7" w:rsidRPr="00DF51E7" w:rsidRDefault="00DF51E7" w:rsidP="00DF51E7">
      <w:pPr>
        <w:jc w:val="both"/>
        <w:rPr>
          <w:b/>
          <w:bCs/>
          <w:szCs w:val="22"/>
        </w:rPr>
      </w:pPr>
      <w:r w:rsidRPr="00DF51E7">
        <w:rPr>
          <w:b/>
          <w:bCs/>
          <w:szCs w:val="22"/>
        </w:rPr>
        <w:t xml:space="preserve">6. Vurderingskriterier </w:t>
      </w:r>
    </w:p>
    <w:p w14:paraId="2F31F898" w14:textId="77777777" w:rsidR="00DF51E7" w:rsidRPr="00DF51E7" w:rsidRDefault="00DF51E7" w:rsidP="00DF51E7">
      <w:pPr>
        <w:jc w:val="both"/>
        <w:rPr>
          <w:szCs w:val="22"/>
        </w:rPr>
      </w:pPr>
    </w:p>
    <w:p w14:paraId="2B1AB517" w14:textId="77777777" w:rsidR="00DF51E7" w:rsidRPr="00DF51E7" w:rsidRDefault="00DF51E7" w:rsidP="00DF51E7">
      <w:pPr>
        <w:jc w:val="both"/>
        <w:rPr>
          <w:szCs w:val="22"/>
        </w:rPr>
      </w:pPr>
      <w:r w:rsidRPr="00DF51E7">
        <w:rPr>
          <w:szCs w:val="22"/>
        </w:rPr>
        <w:t>I vurderingen af de indkomne ansøgninger vil der lægges vægt på følgende kriterier:</w:t>
      </w:r>
    </w:p>
    <w:p w14:paraId="3AA1ECFA" w14:textId="77777777" w:rsidR="00DF51E7" w:rsidRPr="00DF51E7" w:rsidRDefault="00DF51E7" w:rsidP="00DF51E7">
      <w:pPr>
        <w:jc w:val="both"/>
        <w:rPr>
          <w:szCs w:val="22"/>
        </w:rPr>
      </w:pPr>
    </w:p>
    <w:p w14:paraId="710D0071" w14:textId="77777777" w:rsidR="00DF51E7" w:rsidRPr="00DF51E7" w:rsidRDefault="00DF51E7" w:rsidP="00DF51E7">
      <w:pPr>
        <w:jc w:val="both"/>
        <w:rPr>
          <w:szCs w:val="22"/>
          <w:u w:val="single"/>
        </w:rPr>
      </w:pPr>
      <w:r w:rsidRPr="00DF51E7">
        <w:rPr>
          <w:szCs w:val="22"/>
          <w:u w:val="single"/>
        </w:rPr>
        <w:t>Kvalitet (0-60 point)</w:t>
      </w:r>
    </w:p>
    <w:p w14:paraId="1AD6F626" w14:textId="77777777" w:rsidR="00DF51E7" w:rsidRPr="00DF51E7" w:rsidRDefault="00DF51E7" w:rsidP="00DF51E7">
      <w:pPr>
        <w:pStyle w:val="Listeafsnit"/>
        <w:numPr>
          <w:ilvl w:val="0"/>
          <w:numId w:val="5"/>
        </w:numPr>
        <w:jc w:val="both"/>
        <w:rPr>
          <w:rFonts w:ascii="Times New Roman" w:hAnsi="Times New Roman"/>
          <w:sz w:val="22"/>
          <w:szCs w:val="22"/>
        </w:rPr>
      </w:pPr>
      <w:r w:rsidRPr="00DF51E7">
        <w:rPr>
          <w:rFonts w:ascii="Times New Roman" w:hAnsi="Times New Roman"/>
          <w:sz w:val="22"/>
          <w:szCs w:val="22"/>
        </w:rPr>
        <w:t>Kvaliteten i de fire kerneopgaver for hubs, som konsortiet kan levere: 1. Test før investering, 2. Færdigheder og træning, 3. Støtte til at finde investeringer og 4. Innovationsøkosystemer og netværksmuligheder.</w:t>
      </w:r>
    </w:p>
    <w:p w14:paraId="43ADD676" w14:textId="77777777" w:rsidR="00DF51E7" w:rsidRPr="00DF51E7" w:rsidRDefault="00DF51E7" w:rsidP="00DF51E7">
      <w:pPr>
        <w:pStyle w:val="Listeafsnit"/>
        <w:numPr>
          <w:ilvl w:val="0"/>
          <w:numId w:val="5"/>
        </w:numPr>
        <w:jc w:val="both"/>
        <w:rPr>
          <w:rFonts w:ascii="Times New Roman" w:hAnsi="Times New Roman"/>
          <w:sz w:val="22"/>
          <w:szCs w:val="22"/>
        </w:rPr>
      </w:pPr>
      <w:r w:rsidRPr="00DF51E7">
        <w:rPr>
          <w:rFonts w:ascii="Times New Roman" w:hAnsi="Times New Roman"/>
          <w:sz w:val="22"/>
          <w:szCs w:val="22"/>
        </w:rPr>
        <w:t>I hvor høj grad konsortiets tilbud imødekommer virksomhedernes behov og vil være attraktivt at deltage i.</w:t>
      </w:r>
    </w:p>
    <w:p w14:paraId="7F0951B8" w14:textId="77777777" w:rsidR="00DF51E7" w:rsidRPr="00DF51E7" w:rsidRDefault="00DF51E7" w:rsidP="00DF51E7">
      <w:pPr>
        <w:pStyle w:val="Listeafsnit"/>
        <w:numPr>
          <w:ilvl w:val="0"/>
          <w:numId w:val="5"/>
        </w:numPr>
        <w:jc w:val="both"/>
        <w:rPr>
          <w:rFonts w:ascii="Times New Roman" w:hAnsi="Times New Roman"/>
          <w:sz w:val="22"/>
          <w:szCs w:val="22"/>
        </w:rPr>
      </w:pPr>
      <w:r w:rsidRPr="00DF51E7">
        <w:rPr>
          <w:rFonts w:ascii="Times New Roman" w:hAnsi="Times New Roman"/>
          <w:sz w:val="22"/>
          <w:szCs w:val="22"/>
        </w:rPr>
        <w:t xml:space="preserve">Overensstemmelse med formålet for hubs (relevans), projektets modenhed og forventet effekt. </w:t>
      </w:r>
    </w:p>
    <w:p w14:paraId="2390EC6B" w14:textId="77777777" w:rsidR="00DF51E7" w:rsidRPr="00DF51E7" w:rsidRDefault="00DF51E7" w:rsidP="00DF51E7">
      <w:pPr>
        <w:pStyle w:val="Listeafsnit"/>
        <w:numPr>
          <w:ilvl w:val="0"/>
          <w:numId w:val="5"/>
        </w:numPr>
        <w:jc w:val="both"/>
        <w:rPr>
          <w:rFonts w:ascii="Times New Roman" w:hAnsi="Times New Roman"/>
          <w:sz w:val="22"/>
          <w:szCs w:val="22"/>
        </w:rPr>
      </w:pPr>
      <w:r w:rsidRPr="00DF51E7">
        <w:rPr>
          <w:rFonts w:ascii="Times New Roman" w:hAnsi="Times New Roman"/>
          <w:sz w:val="22"/>
          <w:szCs w:val="22"/>
        </w:rPr>
        <w:t>I hvilken udstrækning konsortiet fremstår som en stærk og attraktiv aktør også i en international kontekst</w:t>
      </w:r>
    </w:p>
    <w:p w14:paraId="09CA7FFE" w14:textId="77777777" w:rsidR="00DF51E7" w:rsidRPr="00DF51E7" w:rsidRDefault="00DF51E7" w:rsidP="00DF51E7">
      <w:pPr>
        <w:jc w:val="both"/>
        <w:rPr>
          <w:szCs w:val="22"/>
        </w:rPr>
      </w:pPr>
    </w:p>
    <w:p w14:paraId="389CF2D0" w14:textId="77777777" w:rsidR="00DF51E7" w:rsidRPr="00DF51E7" w:rsidRDefault="00DF51E7" w:rsidP="00DF51E7">
      <w:pPr>
        <w:jc w:val="both"/>
        <w:rPr>
          <w:szCs w:val="22"/>
          <w:u w:val="single"/>
        </w:rPr>
      </w:pPr>
      <w:r w:rsidRPr="00DF51E7">
        <w:rPr>
          <w:szCs w:val="22"/>
          <w:u w:val="single"/>
        </w:rPr>
        <w:t>Forenkling, sammenhæng og decentral tilgængelighed (0-40 point)</w:t>
      </w:r>
    </w:p>
    <w:p w14:paraId="781BF099" w14:textId="77777777" w:rsidR="00DF51E7" w:rsidRPr="00DF51E7" w:rsidRDefault="00DF51E7" w:rsidP="00DF51E7">
      <w:pPr>
        <w:pStyle w:val="Listeafsnit"/>
        <w:numPr>
          <w:ilvl w:val="0"/>
          <w:numId w:val="5"/>
        </w:numPr>
        <w:jc w:val="both"/>
        <w:rPr>
          <w:rFonts w:ascii="Times New Roman" w:hAnsi="Times New Roman"/>
          <w:sz w:val="22"/>
          <w:szCs w:val="22"/>
        </w:rPr>
      </w:pPr>
      <w:r w:rsidRPr="00DF51E7">
        <w:rPr>
          <w:rFonts w:ascii="Times New Roman" w:hAnsi="Times New Roman"/>
          <w:sz w:val="22"/>
          <w:szCs w:val="22"/>
        </w:rPr>
        <w:t xml:space="preserve">Konsortiet er sammentænkt med og bygger således ovenpå de eksisterende strukturer i erhvervsfremmesystemet og den arbejdsdeling, der er fastlagt i lov om erhvervsfremme, så overlap og knopskydning undgås, og ressourcerne målrettes. </w:t>
      </w:r>
    </w:p>
    <w:p w14:paraId="62EA1205" w14:textId="77777777" w:rsidR="00DF51E7" w:rsidRPr="00DF51E7" w:rsidRDefault="00DF51E7" w:rsidP="00DF51E7">
      <w:pPr>
        <w:pStyle w:val="Listeafsnit"/>
        <w:numPr>
          <w:ilvl w:val="0"/>
          <w:numId w:val="5"/>
        </w:numPr>
        <w:jc w:val="both"/>
        <w:rPr>
          <w:rFonts w:ascii="Times New Roman" w:hAnsi="Times New Roman"/>
          <w:sz w:val="22"/>
          <w:szCs w:val="22"/>
        </w:rPr>
      </w:pPr>
      <w:r w:rsidRPr="00DF51E7">
        <w:rPr>
          <w:rFonts w:ascii="Times New Roman" w:hAnsi="Times New Roman"/>
          <w:sz w:val="22"/>
          <w:szCs w:val="22"/>
        </w:rPr>
        <w:t xml:space="preserve">Konsortiet kan være med til at skabe forudsætninger for en større sammenhæng i erhvervs- og innovationsfremmesystemet ved at styrke samarbejdet på tværs mellem erhvervshuse, klynger, </w:t>
      </w:r>
      <w:proofErr w:type="spellStart"/>
      <w:r w:rsidRPr="00DF51E7">
        <w:rPr>
          <w:rFonts w:ascii="Times New Roman" w:hAnsi="Times New Roman"/>
          <w:sz w:val="22"/>
          <w:szCs w:val="22"/>
        </w:rPr>
        <w:t>GTS’er</w:t>
      </w:r>
      <w:proofErr w:type="spellEnd"/>
      <w:r w:rsidRPr="00DF51E7">
        <w:rPr>
          <w:rFonts w:ascii="Times New Roman" w:hAnsi="Times New Roman"/>
          <w:sz w:val="22"/>
          <w:szCs w:val="22"/>
        </w:rPr>
        <w:t xml:space="preserve"> mv.</w:t>
      </w:r>
    </w:p>
    <w:p w14:paraId="48C22E25" w14:textId="77777777" w:rsidR="00DF51E7" w:rsidRPr="00DF51E7" w:rsidRDefault="00DF51E7" w:rsidP="00DF51E7">
      <w:pPr>
        <w:pStyle w:val="Listeafsnit"/>
        <w:numPr>
          <w:ilvl w:val="0"/>
          <w:numId w:val="5"/>
        </w:numPr>
        <w:jc w:val="both"/>
        <w:rPr>
          <w:rFonts w:ascii="Times New Roman" w:hAnsi="Times New Roman"/>
          <w:sz w:val="22"/>
          <w:szCs w:val="22"/>
        </w:rPr>
      </w:pPr>
      <w:r w:rsidRPr="00DF51E7">
        <w:rPr>
          <w:rFonts w:ascii="Times New Roman" w:hAnsi="Times New Roman"/>
          <w:sz w:val="22"/>
          <w:szCs w:val="22"/>
        </w:rPr>
        <w:t>Udvælgelsen af konsortier for digitale hubs skal være geografisk spredt og på den måde komme hele landet til gode.</w:t>
      </w:r>
    </w:p>
    <w:p w14:paraId="5C712399" w14:textId="77777777" w:rsidR="00DF51E7" w:rsidRDefault="00DF51E7" w:rsidP="00DF51E7">
      <w:pPr>
        <w:jc w:val="both"/>
        <w:rPr>
          <w:szCs w:val="22"/>
        </w:rPr>
      </w:pPr>
    </w:p>
    <w:p w14:paraId="7B6F7C78" w14:textId="77777777" w:rsidR="007143D4" w:rsidRDefault="007143D4" w:rsidP="00DF51E7">
      <w:pPr>
        <w:jc w:val="both"/>
        <w:rPr>
          <w:szCs w:val="22"/>
        </w:rPr>
      </w:pPr>
    </w:p>
    <w:p w14:paraId="7F070A44" w14:textId="77777777" w:rsidR="007143D4" w:rsidRPr="00DF51E7" w:rsidRDefault="007143D4" w:rsidP="00DF51E7">
      <w:pPr>
        <w:jc w:val="both"/>
        <w:rPr>
          <w:szCs w:val="22"/>
        </w:rPr>
      </w:pPr>
    </w:p>
    <w:p w14:paraId="4C21CA83" w14:textId="77777777" w:rsidR="00DF51E7" w:rsidRPr="00DF51E7" w:rsidRDefault="00DF51E7" w:rsidP="00DF51E7">
      <w:pPr>
        <w:jc w:val="both"/>
        <w:rPr>
          <w:b/>
          <w:bCs/>
          <w:szCs w:val="22"/>
        </w:rPr>
      </w:pPr>
      <w:r w:rsidRPr="00DF51E7">
        <w:rPr>
          <w:b/>
          <w:bCs/>
          <w:szCs w:val="22"/>
        </w:rPr>
        <w:lastRenderedPageBreak/>
        <w:t>7. Styring og administration af de kommende European Digital Innovation Hubs i Danmark</w:t>
      </w:r>
    </w:p>
    <w:p w14:paraId="4762EE83" w14:textId="77777777" w:rsidR="00DF51E7" w:rsidRPr="00DF51E7" w:rsidRDefault="00DF51E7" w:rsidP="00DF51E7">
      <w:pPr>
        <w:spacing w:before="240"/>
        <w:jc w:val="both"/>
        <w:rPr>
          <w:szCs w:val="22"/>
        </w:rPr>
      </w:pPr>
      <w:r w:rsidRPr="00DF51E7">
        <w:rPr>
          <w:szCs w:val="22"/>
        </w:rPr>
        <w:t>Følgende vil gælde for de konsortier, der nomineres fra dansk side og udvælges af Kommissionen:</w:t>
      </w:r>
    </w:p>
    <w:p w14:paraId="3964F926" w14:textId="77777777" w:rsidR="00DF51E7" w:rsidRPr="00DF51E7" w:rsidRDefault="00DF51E7" w:rsidP="00DF51E7">
      <w:pPr>
        <w:spacing w:before="240"/>
        <w:jc w:val="both"/>
        <w:rPr>
          <w:szCs w:val="22"/>
        </w:rPr>
      </w:pPr>
      <w:r w:rsidRPr="00DF51E7">
        <w:rPr>
          <w:szCs w:val="22"/>
        </w:rPr>
        <w:t xml:space="preserve">Efter udvælgelse af danske konsortier, som hubs i Kommissionens </w:t>
      </w:r>
      <w:proofErr w:type="spellStart"/>
      <w:r w:rsidRPr="00DF51E7">
        <w:rPr>
          <w:szCs w:val="22"/>
        </w:rPr>
        <w:t>calls</w:t>
      </w:r>
      <w:proofErr w:type="spellEnd"/>
      <w:r w:rsidRPr="00DF51E7">
        <w:rPr>
          <w:szCs w:val="22"/>
        </w:rPr>
        <w:t xml:space="preserve">, vil Erhvervsstyrelsen løbende monitorere deres aktiviteter som led i den almindelige dialog med erhvervshusene og klyngerne. </w:t>
      </w:r>
    </w:p>
    <w:p w14:paraId="71B6ED4F" w14:textId="77777777" w:rsidR="00DF51E7" w:rsidRDefault="00DF51E7" w:rsidP="00DF51E7">
      <w:pPr>
        <w:pStyle w:val="Brdtekst"/>
        <w:tabs>
          <w:tab w:val="left" w:pos="340"/>
        </w:tabs>
        <w:spacing w:before="240"/>
        <w:jc w:val="both"/>
        <w:rPr>
          <w:szCs w:val="22"/>
        </w:rPr>
      </w:pPr>
      <w:proofErr w:type="spellStart"/>
      <w:r w:rsidRPr="00DF51E7">
        <w:rPr>
          <w:szCs w:val="22"/>
        </w:rPr>
        <w:t>Hubsne</w:t>
      </w:r>
      <w:proofErr w:type="spellEnd"/>
      <w:r w:rsidRPr="00DF51E7">
        <w:rPr>
          <w:szCs w:val="22"/>
        </w:rPr>
        <w:t xml:space="preserve"> skal koordinere tilbud og aktiviteter indbyrdes i samarbejde med Erhvervsstyrelsen, </w:t>
      </w:r>
      <w:proofErr w:type="gramStart"/>
      <w:r w:rsidRPr="00DF51E7">
        <w:rPr>
          <w:szCs w:val="22"/>
        </w:rPr>
        <w:t>således at</w:t>
      </w:r>
      <w:proofErr w:type="gramEnd"/>
      <w:r w:rsidRPr="00DF51E7">
        <w:rPr>
          <w:szCs w:val="22"/>
        </w:rPr>
        <w:t xml:space="preserve"> virksomheder i hele landet kan tilgå ydelserne og opleve ensartet service. Hvis der er erhvervshuse, der ikke indgår som del af et konsortium for en hub, vil det være et krav til de erhvervshuse, som indgår i hubs-konsortier, at de sikrer, at alle erhvervshuse som led i deres knudepunktsfunktion, kan gøre tilbud tilgængelige for virksomhederne i alle dele af landet. Erhvervshusene, som direkte deltager i konsortiet om en hub, skal således udarbejde materiale mv. til øvrige erhvervshuse, der gør disse i stand til at vejlede virksomhederne i deres respektive geografier om hubbens ydelser.</w:t>
      </w:r>
    </w:p>
    <w:p w14:paraId="11BAECFC" w14:textId="77777777" w:rsidR="00225936" w:rsidRDefault="00225936" w:rsidP="00DF51E7">
      <w:pPr>
        <w:pStyle w:val="Brdtekst"/>
        <w:tabs>
          <w:tab w:val="left" w:pos="340"/>
        </w:tabs>
        <w:jc w:val="both"/>
        <w:rPr>
          <w:szCs w:val="22"/>
        </w:rPr>
      </w:pPr>
    </w:p>
    <w:p w14:paraId="4B2227A2" w14:textId="77777777" w:rsidR="00DF51E7" w:rsidRPr="00DF51E7" w:rsidRDefault="00DF51E7" w:rsidP="00DF51E7">
      <w:pPr>
        <w:pStyle w:val="Brdtekst"/>
        <w:tabs>
          <w:tab w:val="left" w:pos="340"/>
        </w:tabs>
        <w:jc w:val="both"/>
        <w:rPr>
          <w:szCs w:val="22"/>
        </w:rPr>
      </w:pPr>
      <w:proofErr w:type="spellStart"/>
      <w:r w:rsidRPr="00DF51E7">
        <w:rPr>
          <w:szCs w:val="22"/>
        </w:rPr>
        <w:t>Hubsne</w:t>
      </w:r>
      <w:proofErr w:type="spellEnd"/>
      <w:r w:rsidRPr="00DF51E7">
        <w:rPr>
          <w:szCs w:val="22"/>
        </w:rPr>
        <w:t xml:space="preserve"> skal desuden samarbejde med Virksomhedsguiden.dk om at stille viden og vejledninger om digitale teknologier og digital forretningsudvikling til rådighed for virksomheder på et fælles sted på Virksomhedsguiden.dk. </w:t>
      </w:r>
    </w:p>
    <w:p w14:paraId="78575282" w14:textId="77777777" w:rsidR="00DF51E7" w:rsidRPr="00DF51E7" w:rsidRDefault="00DF51E7" w:rsidP="00DF51E7">
      <w:pPr>
        <w:pStyle w:val="Brdtekst"/>
        <w:tabs>
          <w:tab w:val="left" w:pos="340"/>
        </w:tabs>
        <w:jc w:val="both"/>
        <w:rPr>
          <w:szCs w:val="22"/>
        </w:rPr>
      </w:pPr>
    </w:p>
    <w:tbl>
      <w:tblPr>
        <w:tblW w:w="8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D8A85"/>
        <w:tblLook w:val="00A0" w:firstRow="1" w:lastRow="0" w:firstColumn="1" w:lastColumn="0" w:noHBand="0" w:noVBand="0"/>
        <w:tblCaption w:val="Yderligere information"/>
        <w:tblDescription w:val="&quot;&quot;"/>
      </w:tblPr>
      <w:tblGrid>
        <w:gridCol w:w="8012"/>
      </w:tblGrid>
      <w:tr w:rsidR="00DF51E7" w:rsidRPr="00225936" w14:paraId="14FFE2CB" w14:textId="77777777" w:rsidTr="00B5761D">
        <w:trPr>
          <w:trHeight w:val="2117"/>
        </w:trPr>
        <w:tc>
          <w:tcPr>
            <w:tcW w:w="8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tcPr>
          <w:p w14:paraId="49052B34" w14:textId="77777777" w:rsidR="00DF51E7" w:rsidRPr="00DF51E7" w:rsidRDefault="00DF51E7" w:rsidP="00B5761D">
            <w:pPr>
              <w:spacing w:after="60"/>
              <w:jc w:val="both"/>
              <w:rPr>
                <w:b/>
                <w:szCs w:val="22"/>
              </w:rPr>
            </w:pPr>
            <w:bookmarkStart w:id="4" w:name="_Hlk8297262"/>
            <w:r w:rsidRPr="00DF51E7">
              <w:rPr>
                <w:b/>
                <w:szCs w:val="22"/>
              </w:rPr>
              <w:t>Supplerende materiale</w:t>
            </w:r>
          </w:p>
          <w:p w14:paraId="66574BF8" w14:textId="77777777" w:rsidR="00DF51E7" w:rsidRPr="00DF51E7" w:rsidRDefault="00DF51E7" w:rsidP="00B5761D">
            <w:pPr>
              <w:autoSpaceDE w:val="0"/>
              <w:autoSpaceDN w:val="0"/>
              <w:adjustRightInd w:val="0"/>
              <w:jc w:val="both"/>
              <w:rPr>
                <w:szCs w:val="22"/>
              </w:rPr>
            </w:pPr>
            <w:r w:rsidRPr="00DF51E7">
              <w:rPr>
                <w:szCs w:val="22"/>
              </w:rPr>
              <w:t xml:space="preserve">Du finder yderligere information og materiale om de europæiske retningslinjer for European Digital Innovation Hubs </w:t>
            </w:r>
            <w:hyperlink r:id="rId11" w:history="1">
              <w:r w:rsidRPr="00DF51E7">
                <w:rPr>
                  <w:rStyle w:val="Hyperlink"/>
                  <w:szCs w:val="22"/>
                </w:rPr>
                <w:t>her</w:t>
              </w:r>
            </w:hyperlink>
            <w:r w:rsidRPr="00DF51E7">
              <w:rPr>
                <w:szCs w:val="22"/>
              </w:rPr>
              <w:t xml:space="preserve">. </w:t>
            </w:r>
          </w:p>
          <w:p w14:paraId="3E0A6061" w14:textId="77777777" w:rsidR="00DF51E7" w:rsidRPr="00DF51E7" w:rsidRDefault="00DF51E7" w:rsidP="00B5761D">
            <w:pPr>
              <w:autoSpaceDE w:val="0"/>
              <w:autoSpaceDN w:val="0"/>
              <w:adjustRightInd w:val="0"/>
              <w:spacing w:after="120"/>
              <w:jc w:val="both"/>
              <w:rPr>
                <w:color w:val="FFFFFF" w:themeColor="background1"/>
                <w:szCs w:val="22"/>
              </w:rPr>
            </w:pPr>
          </w:p>
          <w:p w14:paraId="2F2049AC" w14:textId="77777777" w:rsidR="00DF51E7" w:rsidRPr="00DF51E7" w:rsidRDefault="00DF51E7" w:rsidP="00B5761D">
            <w:pPr>
              <w:autoSpaceDE w:val="0"/>
              <w:autoSpaceDN w:val="0"/>
              <w:adjustRightInd w:val="0"/>
              <w:spacing w:after="120"/>
              <w:jc w:val="both"/>
              <w:rPr>
                <w:b/>
                <w:bCs/>
                <w:szCs w:val="22"/>
              </w:rPr>
            </w:pPr>
            <w:r w:rsidRPr="00DF51E7">
              <w:rPr>
                <w:b/>
                <w:bCs/>
                <w:szCs w:val="22"/>
              </w:rPr>
              <w:t>Kontakt</w:t>
            </w:r>
          </w:p>
          <w:p w14:paraId="04B71C90" w14:textId="77777777" w:rsidR="00DF51E7" w:rsidRPr="00DF51E7" w:rsidRDefault="00DF51E7" w:rsidP="00B5761D">
            <w:pPr>
              <w:autoSpaceDE w:val="0"/>
              <w:autoSpaceDN w:val="0"/>
              <w:adjustRightInd w:val="0"/>
              <w:spacing w:after="120"/>
              <w:jc w:val="both"/>
              <w:rPr>
                <w:szCs w:val="22"/>
              </w:rPr>
            </w:pPr>
            <w:r w:rsidRPr="00DF51E7">
              <w:rPr>
                <w:szCs w:val="22"/>
              </w:rPr>
              <w:t>Har du spørgsmål, er du velkommen til at kontakte Erhvervsstyrelsen.</w:t>
            </w:r>
          </w:p>
          <w:p w14:paraId="7FCF61F4" w14:textId="77777777" w:rsidR="00DF51E7" w:rsidRPr="00DF51E7" w:rsidRDefault="00DF51E7" w:rsidP="00B5761D">
            <w:pPr>
              <w:autoSpaceDE w:val="0"/>
              <w:autoSpaceDN w:val="0"/>
              <w:adjustRightInd w:val="0"/>
              <w:spacing w:after="120"/>
              <w:jc w:val="both"/>
              <w:rPr>
                <w:szCs w:val="22"/>
              </w:rPr>
            </w:pPr>
            <w:r w:rsidRPr="00DF51E7">
              <w:rPr>
                <w:szCs w:val="22"/>
              </w:rPr>
              <w:t>Ring eller skriv gerne til:</w:t>
            </w:r>
          </w:p>
          <w:p w14:paraId="51EDBCD5" w14:textId="77777777" w:rsidR="00DF51E7" w:rsidRPr="00DF51E7" w:rsidRDefault="00DF51E7" w:rsidP="00B5761D">
            <w:pPr>
              <w:jc w:val="both"/>
              <w:rPr>
                <w:szCs w:val="22"/>
                <w:lang w:val="en-US"/>
              </w:rPr>
            </w:pPr>
            <w:r w:rsidRPr="00DF51E7">
              <w:rPr>
                <w:szCs w:val="22"/>
                <w:lang w:val="en-US"/>
              </w:rPr>
              <w:t xml:space="preserve">Simon Rahlf Hauptmann, </w:t>
            </w:r>
            <w:hyperlink r:id="rId12" w:history="1">
              <w:r w:rsidRPr="00DF51E7">
                <w:rPr>
                  <w:rStyle w:val="Hyperlink"/>
                  <w:szCs w:val="22"/>
                  <w:lang w:val="en-US"/>
                </w:rPr>
                <w:t>simhau@erst.dk</w:t>
              </w:r>
            </w:hyperlink>
            <w:r w:rsidRPr="00DF51E7">
              <w:rPr>
                <w:szCs w:val="22"/>
                <w:lang w:val="en-US"/>
              </w:rPr>
              <w:t xml:space="preserve">, </w:t>
            </w:r>
            <w:proofErr w:type="spellStart"/>
            <w:r w:rsidRPr="00DF51E7">
              <w:rPr>
                <w:szCs w:val="22"/>
                <w:lang w:val="en-US"/>
              </w:rPr>
              <w:t>tlf</w:t>
            </w:r>
            <w:proofErr w:type="spellEnd"/>
            <w:r w:rsidRPr="00DF51E7">
              <w:rPr>
                <w:szCs w:val="22"/>
                <w:lang w:val="en-US"/>
              </w:rPr>
              <w:t>. 35291524</w:t>
            </w:r>
          </w:p>
          <w:p w14:paraId="28722680" w14:textId="77777777" w:rsidR="00DF51E7" w:rsidRPr="00DF51E7" w:rsidRDefault="00DF51E7" w:rsidP="00B5761D">
            <w:pPr>
              <w:jc w:val="both"/>
              <w:rPr>
                <w:szCs w:val="22"/>
                <w:lang w:val="en-US"/>
              </w:rPr>
            </w:pPr>
            <w:proofErr w:type="spellStart"/>
            <w:r w:rsidRPr="00DF51E7">
              <w:rPr>
                <w:szCs w:val="22"/>
                <w:lang w:val="en-US"/>
              </w:rPr>
              <w:t>Cagdas</w:t>
            </w:r>
            <w:proofErr w:type="spellEnd"/>
            <w:r w:rsidRPr="00DF51E7">
              <w:rPr>
                <w:szCs w:val="22"/>
                <w:lang w:val="en-US"/>
              </w:rPr>
              <w:t xml:space="preserve"> </w:t>
            </w:r>
            <w:proofErr w:type="spellStart"/>
            <w:r w:rsidRPr="00DF51E7">
              <w:rPr>
                <w:szCs w:val="22"/>
                <w:lang w:val="en-US"/>
              </w:rPr>
              <w:t>Citirikkaya</w:t>
            </w:r>
            <w:proofErr w:type="spellEnd"/>
            <w:r w:rsidRPr="00DF51E7">
              <w:rPr>
                <w:szCs w:val="22"/>
                <w:lang w:val="en-US"/>
              </w:rPr>
              <w:t xml:space="preserve">, </w:t>
            </w:r>
            <w:hyperlink r:id="rId13" w:history="1">
              <w:r w:rsidRPr="00DF51E7">
                <w:rPr>
                  <w:rStyle w:val="Hyperlink"/>
                  <w:szCs w:val="22"/>
                  <w:lang w:val="en-US"/>
                </w:rPr>
                <w:t>cagcit@erst.dk</w:t>
              </w:r>
            </w:hyperlink>
            <w:r w:rsidRPr="00DF51E7">
              <w:rPr>
                <w:szCs w:val="22"/>
                <w:lang w:val="en-US"/>
              </w:rPr>
              <w:t xml:space="preserve">, </w:t>
            </w:r>
            <w:proofErr w:type="spellStart"/>
            <w:r w:rsidRPr="00DF51E7">
              <w:rPr>
                <w:szCs w:val="22"/>
                <w:lang w:val="en-US"/>
              </w:rPr>
              <w:t>tlf</w:t>
            </w:r>
            <w:proofErr w:type="spellEnd"/>
            <w:r w:rsidRPr="00DF51E7">
              <w:rPr>
                <w:szCs w:val="22"/>
                <w:lang w:val="en-US"/>
              </w:rPr>
              <w:t>. 3529 1825</w:t>
            </w:r>
          </w:p>
          <w:p w14:paraId="3E3BBE4A" w14:textId="77777777" w:rsidR="00DF51E7" w:rsidRPr="00DF51E7" w:rsidRDefault="00DF51E7" w:rsidP="00B5761D">
            <w:pPr>
              <w:jc w:val="both"/>
              <w:rPr>
                <w:i/>
                <w:color w:val="FFFFFF" w:themeColor="background1"/>
                <w:szCs w:val="22"/>
                <w:lang w:val="en-US"/>
              </w:rPr>
            </w:pPr>
          </w:p>
        </w:tc>
      </w:tr>
      <w:bookmarkEnd w:id="4"/>
    </w:tbl>
    <w:p w14:paraId="37AC4B48" w14:textId="77777777" w:rsidR="00DF51E7" w:rsidRPr="00DF51E7" w:rsidRDefault="00DF51E7" w:rsidP="00DF51E7">
      <w:pPr>
        <w:jc w:val="both"/>
        <w:rPr>
          <w:szCs w:val="22"/>
          <w:lang w:val="en-US"/>
        </w:rPr>
      </w:pPr>
    </w:p>
    <w:p w14:paraId="67D0D236" w14:textId="77777777" w:rsidR="003B009E" w:rsidRPr="00DF51E7" w:rsidRDefault="003B009E" w:rsidP="003B009E">
      <w:pPr>
        <w:pStyle w:val="Brdtekst"/>
        <w:jc w:val="both"/>
        <w:rPr>
          <w:szCs w:val="22"/>
          <w:lang w:val="en-US"/>
        </w:rPr>
      </w:pPr>
    </w:p>
    <w:sectPr w:rsidR="003B009E" w:rsidRPr="00DF51E7" w:rsidSect="00D04A7C">
      <w:headerReference w:type="default" r:id="rId14"/>
      <w:footerReference w:type="default" r:id="rId15"/>
      <w:headerReference w:type="first" r:id="rId16"/>
      <w:pgSz w:w="11906" w:h="16838" w:code="9"/>
      <w:pgMar w:top="2098" w:right="3684" w:bottom="851" w:left="1134" w:header="624" w:footer="567" w:gutter="0"/>
      <w:paperSrc w:first="15"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E4630" w14:textId="77777777" w:rsidR="00134A28" w:rsidRDefault="00134A28">
      <w:pPr>
        <w:spacing w:line="240" w:lineRule="auto"/>
      </w:pPr>
      <w:r>
        <w:separator/>
      </w:r>
    </w:p>
  </w:endnote>
  <w:endnote w:type="continuationSeparator" w:id="0">
    <w:p w14:paraId="1B3796F5" w14:textId="77777777" w:rsidR="00134A28" w:rsidRDefault="00134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pton Book">
    <w:altName w:val="Calibri"/>
    <w:charset w:val="00"/>
    <w:family w:val="auto"/>
    <w:pitch w:val="variable"/>
    <w:sig w:usb0="00000007" w:usb1="00000023" w:usb2="00000000" w:usb3="00000000" w:csb0="00000093"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324118"/>
      <w:docPartObj>
        <w:docPartGallery w:val="Page Numbers (Bottom of Page)"/>
        <w:docPartUnique/>
      </w:docPartObj>
    </w:sdtPr>
    <w:sdtContent>
      <w:p w14:paraId="71C65D4F" w14:textId="77777777" w:rsidR="00B00EEF" w:rsidRDefault="00B00EEF">
        <w:pPr>
          <w:pStyle w:val="Sidefod"/>
          <w:jc w:val="right"/>
        </w:pPr>
        <w:r>
          <w:fldChar w:fldCharType="begin"/>
        </w:r>
        <w:r>
          <w:instrText>PAGE   \* MERGEFORMAT</w:instrText>
        </w:r>
        <w:r>
          <w:fldChar w:fldCharType="separate"/>
        </w:r>
        <w:r>
          <w:t>2</w:t>
        </w:r>
        <w:r>
          <w:fldChar w:fldCharType="end"/>
        </w:r>
      </w:p>
    </w:sdtContent>
  </w:sdt>
  <w:p w14:paraId="61F6A1FF" w14:textId="77777777" w:rsidR="00B00EEF" w:rsidRDefault="00B00EE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6437" w14:textId="77777777" w:rsidR="00134A28" w:rsidRDefault="00134A28">
      <w:pPr>
        <w:spacing w:line="240" w:lineRule="auto"/>
      </w:pPr>
      <w:r>
        <w:separator/>
      </w:r>
    </w:p>
  </w:footnote>
  <w:footnote w:type="continuationSeparator" w:id="0">
    <w:p w14:paraId="3AEEE685" w14:textId="77777777" w:rsidR="00134A28" w:rsidRDefault="00134A28">
      <w:pPr>
        <w:spacing w:line="240" w:lineRule="auto"/>
      </w:pPr>
      <w:r>
        <w:continuationSeparator/>
      </w:r>
    </w:p>
  </w:footnote>
  <w:footnote w:id="1">
    <w:p w14:paraId="3D4D1345" w14:textId="77777777" w:rsidR="00DF51E7" w:rsidRPr="00B00EEF" w:rsidRDefault="00DF51E7" w:rsidP="00DF51E7">
      <w:pPr>
        <w:pStyle w:val="Fodnotetekst"/>
        <w:rPr>
          <w:rFonts w:ascii="Times New Roman" w:hAnsi="Times New Roman"/>
        </w:rPr>
      </w:pPr>
      <w:r w:rsidRPr="00B00EEF">
        <w:rPr>
          <w:rStyle w:val="Fodnotehenvisning"/>
          <w:rFonts w:ascii="Times New Roman" w:hAnsi="Times New Roman"/>
        </w:rPr>
        <w:footnoteRef/>
      </w:r>
      <w:r w:rsidRPr="00B00EEF">
        <w:rPr>
          <w:rFonts w:ascii="Times New Roman" w:hAnsi="Times New Roman"/>
        </w:rPr>
        <w:t xml:space="preserve"> Kommissionen har et anbefalet et antal på 3-5 danske hubs, men har givet udtryk for, at der er en vis fleksibilitet, så fx seks hubs vil være muligt.</w:t>
      </w:r>
    </w:p>
  </w:footnote>
  <w:footnote w:id="2">
    <w:p w14:paraId="50E91A9A" w14:textId="77777777" w:rsidR="00DF51E7" w:rsidRPr="00B00EEF" w:rsidRDefault="00DF51E7" w:rsidP="00DF51E7">
      <w:pPr>
        <w:pStyle w:val="Fodnotetekst"/>
        <w:rPr>
          <w:rFonts w:ascii="Times New Roman" w:hAnsi="Times New Roman"/>
        </w:rPr>
      </w:pPr>
      <w:r w:rsidRPr="00B00EEF">
        <w:rPr>
          <w:rStyle w:val="Fodnotehenvisning"/>
          <w:rFonts w:ascii="Times New Roman" w:hAnsi="Times New Roman"/>
        </w:rPr>
        <w:footnoteRef/>
      </w:r>
      <w:r w:rsidRPr="00B00EEF">
        <w:rPr>
          <w:rFonts w:ascii="Times New Roman" w:hAnsi="Times New Roman"/>
        </w:rPr>
        <w:t xml:space="preserve"> Afskrivning beregnes i overensstemmelse med internationale regnskabsstandarder og ansøgernes normale regnskabspraksis.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77AF" w14:textId="77777777" w:rsidR="00D25024" w:rsidRDefault="00D25024">
    <w:pPr>
      <w:framePr w:w="1531" w:h="851" w:wrap="around" w:vAnchor="page" w:hAnchor="page" w:x="9186" w:y="721"/>
    </w:pPr>
    <w:r>
      <w:rPr>
        <w:rStyle w:val="Sidetal"/>
      </w:rPr>
      <w:fldChar w:fldCharType="begin"/>
    </w:r>
    <w:r>
      <w:rPr>
        <w:rStyle w:val="Sidetal"/>
      </w:rPr>
      <w:instrText xml:space="preserve"> PAGE </w:instrText>
    </w:r>
    <w:r>
      <w:rPr>
        <w:rStyle w:val="Sidetal"/>
      </w:rPr>
      <w:fldChar w:fldCharType="separate"/>
    </w:r>
    <w:r w:rsidR="00FC43FD">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502C14">
      <w:rPr>
        <w:rStyle w:val="Sidetal"/>
        <w:noProof/>
      </w:rPr>
      <w:t>1</w:t>
    </w:r>
    <w:r>
      <w:rPr>
        <w:rStyle w:val="Sidetal"/>
      </w:rPr>
      <w:fldChar w:fldCharType="end"/>
    </w:r>
  </w:p>
  <w:p w14:paraId="3D375A54" w14:textId="77777777" w:rsidR="00D25024" w:rsidRDefault="00D25024">
    <w:pPr>
      <w:framePr w:w="1531" w:h="851" w:wrap="around" w:vAnchor="page" w:hAnchor="page" w:x="9186" w:y="721"/>
    </w:pPr>
  </w:p>
  <w:p w14:paraId="0F9115C5" w14:textId="77777777" w:rsidR="00D25024" w:rsidRDefault="00D25024">
    <w:pPr>
      <w:framePr w:w="1531" w:h="851" w:wrap="around" w:vAnchor="page" w:hAnchor="page" w:x="9186" w:y="721"/>
    </w:pPr>
  </w:p>
  <w:p w14:paraId="4BFCE475" w14:textId="77777777" w:rsidR="00D25024" w:rsidRDefault="00D2502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497"/>
    </w:tblGrid>
    <w:tr w:rsidR="00D25024" w14:paraId="79B701C9" w14:textId="77777777">
      <w:trPr>
        <w:trHeight w:val="7634"/>
      </w:trPr>
      <w:tc>
        <w:tcPr>
          <w:tcW w:w="2497" w:type="dxa"/>
          <w:tcBorders>
            <w:bottom w:val="nil"/>
          </w:tcBorders>
        </w:tcPr>
        <w:bookmarkStart w:id="5" w:name="Kontor"/>
        <w:bookmarkEnd w:id="5"/>
        <w:p w14:paraId="3495190E" w14:textId="77777777" w:rsidR="00B36902" w:rsidRPr="006B18E0" w:rsidRDefault="00000000" w:rsidP="00B36902">
          <w:pPr>
            <w:framePr w:hSpace="142" w:wrap="around" w:vAnchor="text" w:hAnchor="page" w:x="8988" w:y="1475" w:anchorLock="1"/>
            <w:jc w:val="both"/>
            <w:rPr>
              <w:rFonts w:ascii="Arial" w:hAnsi="Arial" w:cs="Arial"/>
              <w:sz w:val="16"/>
              <w:szCs w:val="16"/>
            </w:rPr>
          </w:pPr>
          <w:sdt>
            <w:sdtPr>
              <w:rPr>
                <w:rFonts w:ascii="Arial" w:hAnsi="Arial" w:cs="Arial"/>
                <w:sz w:val="16"/>
                <w:szCs w:val="16"/>
              </w:rPr>
              <w:alias w:val="Dato"/>
              <w:tag w:val="DocumentDate"/>
              <w:id w:val="-623082215"/>
              <w:placeholder>
                <w:docPart w:val="87396514096347378C2CF8E405E133AC"/>
              </w:placeholder>
              <w:dataBinding w:prefixMappings="xmlns:gbs='http://www.software-innovation.no/growBusinessDocument'" w:xpath="/gbs:GrowBusinessDocument/gbs:DocumentDate[@gbs:key='3006159871']" w:storeItemID="{70B5861F-6996-49D4-B5CC-84B0A887AFC8}"/>
              <w:date w:fullDate="2020-06-30T00:00:00Z">
                <w:dateFormat w:val="d. MMMM yyyy"/>
                <w:lid w:val="da-DK"/>
                <w:storeMappedDataAs w:val="dateTime"/>
                <w:calendar w:val="gregorian"/>
              </w:date>
            </w:sdtPr>
            <w:sdtContent>
              <w:r w:rsidR="00DF51E7">
                <w:rPr>
                  <w:rFonts w:ascii="Arial" w:hAnsi="Arial" w:cs="Arial"/>
                  <w:sz w:val="16"/>
                  <w:szCs w:val="16"/>
                </w:rPr>
                <w:t>30. juni 2020</w:t>
              </w:r>
            </w:sdtContent>
          </w:sdt>
        </w:p>
        <w:p w14:paraId="56EF02AE" w14:textId="77777777" w:rsidR="001E53AA" w:rsidRDefault="00B36902" w:rsidP="00B36902">
          <w:pPr>
            <w:pStyle w:val="SkaktNormal"/>
            <w:framePr w:wrap="around" w:x="8988" w:y="1475"/>
          </w:pPr>
          <w:r>
            <w:t xml:space="preserve"> </w:t>
          </w:r>
        </w:p>
        <w:p w14:paraId="2A46A9D3" w14:textId="77777777" w:rsidR="00D25024" w:rsidRDefault="00D25024">
          <w:pPr>
            <w:pStyle w:val="SkaktNormal"/>
            <w:framePr w:wrap="around" w:x="8988" w:y="1475"/>
          </w:pPr>
        </w:p>
        <w:p w14:paraId="73EDCA9B" w14:textId="77777777" w:rsidR="00DF51E7" w:rsidRDefault="00DF51E7">
          <w:pPr>
            <w:pStyle w:val="SkaktNormal"/>
            <w:framePr w:wrap="around" w:x="8988" w:y="1475"/>
          </w:pPr>
        </w:p>
        <w:p w14:paraId="04829D0A" w14:textId="77777777" w:rsidR="00DF51E7" w:rsidRDefault="00DF51E7">
          <w:pPr>
            <w:pStyle w:val="SkaktNormal"/>
            <w:framePr w:wrap="around" w:x="8988" w:y="1475"/>
          </w:pPr>
        </w:p>
        <w:p w14:paraId="21CF3E82" w14:textId="77777777" w:rsidR="00D25024" w:rsidRDefault="00D25024">
          <w:pPr>
            <w:pStyle w:val="SkaktNormal"/>
            <w:framePr w:wrap="around" w:x="8988" w:y="1475"/>
          </w:pPr>
        </w:p>
        <w:p w14:paraId="269DCBB5" w14:textId="77777777" w:rsidR="00B36902" w:rsidRDefault="00B36902">
          <w:pPr>
            <w:pStyle w:val="SkaktNormal"/>
            <w:framePr w:wrap="around" w:x="8988" w:y="1475"/>
          </w:pPr>
        </w:p>
        <w:p w14:paraId="0E9CA75D" w14:textId="77777777" w:rsidR="00D25024" w:rsidRDefault="00D25024">
          <w:pPr>
            <w:pStyle w:val="SkaktNormal"/>
            <w:framePr w:wrap="around" w:x="8988" w:y="1475"/>
          </w:pPr>
        </w:p>
        <w:p w14:paraId="2ACD4EA3" w14:textId="77777777" w:rsidR="00D25024" w:rsidRDefault="00D25024">
          <w:pPr>
            <w:pStyle w:val="SkaktNormal"/>
            <w:framePr w:wrap="around" w:x="8988" w:y="1475"/>
          </w:pPr>
        </w:p>
        <w:p w14:paraId="214E915E" w14:textId="77777777" w:rsidR="00D25024" w:rsidRDefault="00D25024">
          <w:pPr>
            <w:pStyle w:val="SkaktNormal"/>
            <w:framePr w:wrap="around" w:x="8988" w:y="1475"/>
          </w:pPr>
        </w:p>
        <w:p w14:paraId="5E2B87EE" w14:textId="77777777" w:rsidR="00D25024" w:rsidRDefault="00D25024">
          <w:pPr>
            <w:pStyle w:val="skaktfed"/>
            <w:framePr w:wrap="around" w:vAnchor="text" w:x="8988" w:y="1475"/>
            <w:rPr>
              <w:rFonts w:ascii="Arial" w:hAnsi="Arial"/>
              <w:noProof/>
              <w:spacing w:val="-8"/>
              <w:sz w:val="16"/>
            </w:rPr>
          </w:pPr>
          <w:r>
            <w:t>ERHVERVSSTYRELSEN</w:t>
          </w:r>
        </w:p>
        <w:p w14:paraId="470AABEC" w14:textId="77777777" w:rsidR="007010D9" w:rsidRPr="004E5439" w:rsidRDefault="007010D9" w:rsidP="007010D9">
          <w:pPr>
            <w:pStyle w:val="SkaktNormal"/>
            <w:framePr w:wrap="around" w:x="8988" w:y="1475"/>
            <w:rPr>
              <w:rFonts w:cs="Arial"/>
              <w:szCs w:val="16"/>
            </w:rPr>
          </w:pPr>
          <w:r w:rsidRPr="004E5439">
            <w:rPr>
              <w:rFonts w:cs="Arial"/>
              <w:szCs w:val="16"/>
            </w:rPr>
            <w:t>Dahlerups Pakhus</w:t>
          </w:r>
        </w:p>
        <w:p w14:paraId="7F725D3D" w14:textId="77777777" w:rsidR="007010D9" w:rsidRPr="004E5439" w:rsidRDefault="007010D9" w:rsidP="007010D9">
          <w:pPr>
            <w:pStyle w:val="SkaktNormal"/>
            <w:framePr w:wrap="around" w:x="8988" w:y="1475"/>
            <w:rPr>
              <w:rFonts w:cs="Arial"/>
              <w:szCs w:val="16"/>
            </w:rPr>
          </w:pPr>
          <w:r w:rsidRPr="004E5439">
            <w:rPr>
              <w:rFonts w:cs="Arial"/>
              <w:szCs w:val="16"/>
            </w:rPr>
            <w:t>Langelinie  Allé 17</w:t>
          </w:r>
        </w:p>
        <w:p w14:paraId="616FEB90" w14:textId="77777777" w:rsidR="007010D9" w:rsidRPr="004E5439" w:rsidRDefault="007010D9" w:rsidP="007010D9">
          <w:pPr>
            <w:pStyle w:val="SkaktNormal"/>
            <w:framePr w:wrap="around" w:x="8988" w:y="1475"/>
            <w:rPr>
              <w:rFonts w:cs="Arial"/>
              <w:szCs w:val="16"/>
            </w:rPr>
          </w:pPr>
          <w:r w:rsidRPr="004E5439">
            <w:rPr>
              <w:rFonts w:cs="Arial"/>
              <w:szCs w:val="16"/>
            </w:rPr>
            <w:t>2100 København Ø</w:t>
          </w:r>
        </w:p>
        <w:p w14:paraId="1DACDDA3" w14:textId="77777777" w:rsidR="007010D9" w:rsidRPr="004E5439" w:rsidRDefault="007010D9" w:rsidP="007010D9">
          <w:pPr>
            <w:pStyle w:val="SkaktNormal"/>
            <w:framePr w:wrap="around" w:x="8988" w:y="1475"/>
            <w:rPr>
              <w:rFonts w:cs="Arial"/>
              <w:szCs w:val="16"/>
            </w:rPr>
          </w:pPr>
          <w:r w:rsidRPr="004E5439">
            <w:rPr>
              <w:rFonts w:cs="Arial"/>
              <w:szCs w:val="16"/>
            </w:rPr>
            <w:t xml:space="preserve"> </w:t>
          </w:r>
        </w:p>
        <w:p w14:paraId="0BBF8664" w14:textId="77777777" w:rsidR="007010D9" w:rsidRPr="007010D9" w:rsidRDefault="007010D9" w:rsidP="007010D9">
          <w:pPr>
            <w:pStyle w:val="SkaktNormal"/>
            <w:framePr w:wrap="around" w:x="8988" w:y="1475"/>
            <w:rPr>
              <w:rFonts w:cs="Arial"/>
              <w:szCs w:val="16"/>
            </w:rPr>
          </w:pPr>
          <w:r w:rsidRPr="007010D9">
            <w:rPr>
              <w:rFonts w:cs="Arial"/>
              <w:szCs w:val="16"/>
            </w:rPr>
            <w:t>Tlf.         35 29 10 00</w:t>
          </w:r>
        </w:p>
        <w:p w14:paraId="4D936B71" w14:textId="77777777" w:rsidR="007010D9" w:rsidRPr="007010D9" w:rsidRDefault="007010D9" w:rsidP="007010D9">
          <w:pPr>
            <w:pStyle w:val="SkaktNormal"/>
            <w:framePr w:wrap="around" w:x="8988" w:y="1475"/>
            <w:rPr>
              <w:rFonts w:cs="Arial"/>
              <w:szCs w:val="16"/>
            </w:rPr>
          </w:pPr>
          <w:r w:rsidRPr="007010D9">
            <w:rPr>
              <w:rFonts w:cs="Arial"/>
              <w:szCs w:val="16"/>
            </w:rPr>
            <w:t xml:space="preserve">Fax        </w:t>
          </w:r>
          <w:r w:rsidR="006C671F" w:rsidRPr="00B36902">
            <w:t>35 29 10 01</w:t>
          </w:r>
        </w:p>
        <w:p w14:paraId="2B8DA1F9" w14:textId="77777777" w:rsidR="007010D9" w:rsidRPr="007010D9" w:rsidRDefault="007010D9" w:rsidP="007010D9">
          <w:pPr>
            <w:pStyle w:val="SkaktNormal"/>
            <w:framePr w:wrap="around" w:x="8988" w:y="1475"/>
            <w:rPr>
              <w:rFonts w:cs="Arial"/>
              <w:szCs w:val="16"/>
            </w:rPr>
          </w:pPr>
          <w:r w:rsidRPr="007010D9">
            <w:rPr>
              <w:rFonts w:cs="Arial"/>
              <w:szCs w:val="16"/>
            </w:rPr>
            <w:t>CVR-nr  10 15 08 17</w:t>
          </w:r>
        </w:p>
        <w:p w14:paraId="738B91B7" w14:textId="77777777" w:rsidR="007010D9" w:rsidRPr="00B36902" w:rsidRDefault="007010D9" w:rsidP="007010D9">
          <w:pPr>
            <w:pStyle w:val="SkaktNormal"/>
            <w:framePr w:wrap="around" w:x="8988" w:y="1475"/>
            <w:rPr>
              <w:rFonts w:cs="Arial"/>
              <w:szCs w:val="16"/>
            </w:rPr>
          </w:pPr>
          <w:r w:rsidRPr="00B36902">
            <w:rPr>
              <w:rFonts w:cs="Arial"/>
              <w:szCs w:val="16"/>
            </w:rPr>
            <w:t>E-post erst@erst.dk</w:t>
          </w:r>
        </w:p>
        <w:p w14:paraId="4C620587" w14:textId="77777777" w:rsidR="007010D9" w:rsidRPr="004E5439" w:rsidRDefault="007010D9" w:rsidP="007010D9">
          <w:pPr>
            <w:pStyle w:val="SkaktNormal"/>
            <w:framePr w:wrap="around" w:x="8988" w:y="1475"/>
            <w:rPr>
              <w:rFonts w:cs="Arial"/>
              <w:szCs w:val="16"/>
            </w:rPr>
          </w:pPr>
          <w:r w:rsidRPr="004E5439">
            <w:rPr>
              <w:rFonts w:cs="Arial"/>
              <w:szCs w:val="16"/>
            </w:rPr>
            <w:t>www.erst.dk</w:t>
          </w:r>
        </w:p>
        <w:p w14:paraId="677AE32F" w14:textId="77777777" w:rsidR="00D25024" w:rsidRPr="008C520A" w:rsidRDefault="00D25024">
          <w:pPr>
            <w:pStyle w:val="SkaktBlankLinje"/>
            <w:framePr w:wrap="around" w:x="8988" w:y="1475"/>
            <w:rPr>
              <w:lang w:val="da-DK"/>
            </w:rPr>
          </w:pPr>
        </w:p>
        <w:p w14:paraId="706A656D" w14:textId="77777777" w:rsidR="00D25024" w:rsidRPr="008C520A" w:rsidRDefault="00D25024">
          <w:pPr>
            <w:pStyle w:val="SkaktBlankLinje"/>
            <w:framePr w:wrap="around" w:x="8988" w:y="1475"/>
            <w:rPr>
              <w:lang w:val="da-DK"/>
            </w:rPr>
          </w:pPr>
        </w:p>
        <w:p w14:paraId="3CC20141" w14:textId="77777777" w:rsidR="00D25024" w:rsidRPr="00502C14" w:rsidRDefault="00502C14" w:rsidP="008C520A">
          <w:pPr>
            <w:pStyle w:val="skaktfedlille"/>
            <w:framePr w:hSpace="142" w:wrap="around" w:vAnchor="text" w:hAnchor="page" w:x="8988" w:y="1475" w:anchorLock="1"/>
            <w:rPr>
              <w:lang w:val="da-DK"/>
            </w:rPr>
          </w:pPr>
          <w:r>
            <w:rPr>
              <w:lang w:val="da-DK"/>
            </w:rPr>
            <w:t>ERHVERVS</w:t>
          </w:r>
          <w:r w:rsidR="008C520A">
            <w:rPr>
              <w:lang w:val="da-DK"/>
            </w:rPr>
            <w:t>MINISTERIET</w:t>
          </w:r>
        </w:p>
      </w:tc>
    </w:tr>
  </w:tbl>
  <w:p w14:paraId="7CCC80CA" w14:textId="77777777" w:rsidR="00D25024" w:rsidRDefault="001E53AA" w:rsidP="00A76F59">
    <w:pPr>
      <w:pStyle w:val="Sidehoved"/>
      <w:jc w:val="right"/>
    </w:pPr>
    <w:r>
      <w:rPr>
        <w:noProof/>
        <w:lang w:eastAsia="da-DK"/>
      </w:rPr>
      <w:drawing>
        <wp:anchor distT="0" distB="0" distL="114300" distR="114300" simplePos="0" relativeHeight="251657728" behindDoc="0" locked="1" layoutInCell="0" allowOverlap="1" wp14:anchorId="5F652CF4" wp14:editId="477A63A2">
          <wp:simplePos x="0" y="0"/>
          <wp:positionH relativeFrom="margin">
            <wp:posOffset>0</wp:posOffset>
          </wp:positionH>
          <wp:positionV relativeFrom="page">
            <wp:posOffset>1374140</wp:posOffset>
          </wp:positionV>
          <wp:extent cx="638175" cy="114300"/>
          <wp:effectExtent l="0" t="0" r="9525" b="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114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546E"/>
    <w:multiLevelType w:val="hybridMultilevel"/>
    <w:tmpl w:val="6EC29F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B8610AA"/>
    <w:multiLevelType w:val="hybridMultilevel"/>
    <w:tmpl w:val="E132DDD4"/>
    <w:lvl w:ilvl="0" w:tplc="62168154">
      <w:start w:val="1"/>
      <w:numFmt w:val="decimal"/>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46184F79"/>
    <w:multiLevelType w:val="hybridMultilevel"/>
    <w:tmpl w:val="54940260"/>
    <w:lvl w:ilvl="0" w:tplc="04060001">
      <w:start w:val="1"/>
      <w:numFmt w:val="bullet"/>
      <w:lvlText w:val=""/>
      <w:lvlJc w:val="left"/>
      <w:pPr>
        <w:ind w:left="715" w:hanging="360"/>
      </w:pPr>
      <w:rPr>
        <w:rFonts w:ascii="Symbol" w:hAnsi="Symbol" w:hint="default"/>
      </w:rPr>
    </w:lvl>
    <w:lvl w:ilvl="1" w:tplc="04060003" w:tentative="1">
      <w:start w:val="1"/>
      <w:numFmt w:val="bullet"/>
      <w:lvlText w:val="o"/>
      <w:lvlJc w:val="left"/>
      <w:pPr>
        <w:ind w:left="1435" w:hanging="360"/>
      </w:pPr>
      <w:rPr>
        <w:rFonts w:ascii="Courier New" w:hAnsi="Courier New" w:cs="Courier New" w:hint="default"/>
      </w:rPr>
    </w:lvl>
    <w:lvl w:ilvl="2" w:tplc="04060005" w:tentative="1">
      <w:start w:val="1"/>
      <w:numFmt w:val="bullet"/>
      <w:lvlText w:val=""/>
      <w:lvlJc w:val="left"/>
      <w:pPr>
        <w:ind w:left="2155" w:hanging="360"/>
      </w:pPr>
      <w:rPr>
        <w:rFonts w:ascii="Wingdings" w:hAnsi="Wingdings" w:hint="default"/>
      </w:rPr>
    </w:lvl>
    <w:lvl w:ilvl="3" w:tplc="04060001" w:tentative="1">
      <w:start w:val="1"/>
      <w:numFmt w:val="bullet"/>
      <w:lvlText w:val=""/>
      <w:lvlJc w:val="left"/>
      <w:pPr>
        <w:ind w:left="2875" w:hanging="360"/>
      </w:pPr>
      <w:rPr>
        <w:rFonts w:ascii="Symbol" w:hAnsi="Symbol" w:hint="default"/>
      </w:rPr>
    </w:lvl>
    <w:lvl w:ilvl="4" w:tplc="04060003" w:tentative="1">
      <w:start w:val="1"/>
      <w:numFmt w:val="bullet"/>
      <w:lvlText w:val="o"/>
      <w:lvlJc w:val="left"/>
      <w:pPr>
        <w:ind w:left="3595" w:hanging="360"/>
      </w:pPr>
      <w:rPr>
        <w:rFonts w:ascii="Courier New" w:hAnsi="Courier New" w:cs="Courier New" w:hint="default"/>
      </w:rPr>
    </w:lvl>
    <w:lvl w:ilvl="5" w:tplc="04060005" w:tentative="1">
      <w:start w:val="1"/>
      <w:numFmt w:val="bullet"/>
      <w:lvlText w:val=""/>
      <w:lvlJc w:val="left"/>
      <w:pPr>
        <w:ind w:left="4315" w:hanging="360"/>
      </w:pPr>
      <w:rPr>
        <w:rFonts w:ascii="Wingdings" w:hAnsi="Wingdings" w:hint="default"/>
      </w:rPr>
    </w:lvl>
    <w:lvl w:ilvl="6" w:tplc="04060001" w:tentative="1">
      <w:start w:val="1"/>
      <w:numFmt w:val="bullet"/>
      <w:lvlText w:val=""/>
      <w:lvlJc w:val="left"/>
      <w:pPr>
        <w:ind w:left="5035" w:hanging="360"/>
      </w:pPr>
      <w:rPr>
        <w:rFonts w:ascii="Symbol" w:hAnsi="Symbol" w:hint="default"/>
      </w:rPr>
    </w:lvl>
    <w:lvl w:ilvl="7" w:tplc="04060003" w:tentative="1">
      <w:start w:val="1"/>
      <w:numFmt w:val="bullet"/>
      <w:lvlText w:val="o"/>
      <w:lvlJc w:val="left"/>
      <w:pPr>
        <w:ind w:left="5755" w:hanging="360"/>
      </w:pPr>
      <w:rPr>
        <w:rFonts w:ascii="Courier New" w:hAnsi="Courier New" w:cs="Courier New" w:hint="default"/>
      </w:rPr>
    </w:lvl>
    <w:lvl w:ilvl="8" w:tplc="04060005" w:tentative="1">
      <w:start w:val="1"/>
      <w:numFmt w:val="bullet"/>
      <w:lvlText w:val=""/>
      <w:lvlJc w:val="left"/>
      <w:pPr>
        <w:ind w:left="6475" w:hanging="360"/>
      </w:pPr>
      <w:rPr>
        <w:rFonts w:ascii="Wingdings" w:hAnsi="Wingdings" w:hint="default"/>
      </w:rPr>
    </w:lvl>
  </w:abstractNum>
  <w:abstractNum w:abstractNumId="3" w15:restartNumberingAfterBreak="0">
    <w:nsid w:val="57842BAA"/>
    <w:multiLevelType w:val="singleLevel"/>
    <w:tmpl w:val="F70055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8A1234"/>
    <w:multiLevelType w:val="hybridMultilevel"/>
    <w:tmpl w:val="221854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52528388">
    <w:abstractNumId w:val="3"/>
  </w:num>
  <w:num w:numId="2" w16cid:durableId="455757939">
    <w:abstractNumId w:val="4"/>
  </w:num>
  <w:num w:numId="3" w16cid:durableId="174080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800187">
    <w:abstractNumId w:val="2"/>
  </w:num>
  <w:num w:numId="5" w16cid:durableId="154123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AF"/>
    <w:rsid w:val="0006039E"/>
    <w:rsid w:val="00061765"/>
    <w:rsid w:val="00134A28"/>
    <w:rsid w:val="001E53AA"/>
    <w:rsid w:val="00225936"/>
    <w:rsid w:val="002745AB"/>
    <w:rsid w:val="00325D98"/>
    <w:rsid w:val="003545AF"/>
    <w:rsid w:val="00371B98"/>
    <w:rsid w:val="003B009E"/>
    <w:rsid w:val="003E3DCF"/>
    <w:rsid w:val="00467DD3"/>
    <w:rsid w:val="004A13D6"/>
    <w:rsid w:val="00502C14"/>
    <w:rsid w:val="00571244"/>
    <w:rsid w:val="005D4673"/>
    <w:rsid w:val="00607E46"/>
    <w:rsid w:val="006305B3"/>
    <w:rsid w:val="006C671F"/>
    <w:rsid w:val="007010D9"/>
    <w:rsid w:val="007143D4"/>
    <w:rsid w:val="008C520A"/>
    <w:rsid w:val="009C1606"/>
    <w:rsid w:val="00A76F59"/>
    <w:rsid w:val="00A7768F"/>
    <w:rsid w:val="00B00EEF"/>
    <w:rsid w:val="00B36902"/>
    <w:rsid w:val="00B447C6"/>
    <w:rsid w:val="00B80AEF"/>
    <w:rsid w:val="00BB7EED"/>
    <w:rsid w:val="00BD6C2D"/>
    <w:rsid w:val="00C870EB"/>
    <w:rsid w:val="00D04A7C"/>
    <w:rsid w:val="00D25024"/>
    <w:rsid w:val="00D96432"/>
    <w:rsid w:val="00DD48C6"/>
    <w:rsid w:val="00DF51E7"/>
    <w:rsid w:val="00E57074"/>
    <w:rsid w:val="00E70AEB"/>
    <w:rsid w:val="00EB474A"/>
    <w:rsid w:val="00EC5C5A"/>
    <w:rsid w:val="00F25B73"/>
    <w:rsid w:val="00FC43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B3A6F"/>
  <w15:docId w15:val="{1BF51D32-86E3-45EB-81E7-EA5F45A2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sz w:val="22"/>
      <w:lang w:eastAsia="en-US"/>
    </w:rPr>
  </w:style>
  <w:style w:type="paragraph" w:styleId="Overskrift1">
    <w:name w:val="heading 1"/>
    <w:basedOn w:val="Normal"/>
    <w:next w:val="Brdtekst"/>
    <w:qFormat/>
    <w:rsid w:val="00EB474A"/>
    <w:pPr>
      <w:keepNext/>
      <w:outlineLvl w:val="0"/>
    </w:pPr>
    <w:rPr>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kakt">
    <w:name w:val="skakt"/>
    <w:basedOn w:val="Normal"/>
    <w:pPr>
      <w:framePr w:w="2268" w:h="7370" w:hSpace="141" w:wrap="around" w:hAnchor="page" w:x="9270" w:anchorLock="1"/>
    </w:pPr>
    <w:rPr>
      <w:rFonts w:ascii="Arial" w:hAnsi="Arial"/>
      <w:sz w:val="15"/>
    </w:rPr>
  </w:style>
  <w:style w:type="paragraph" w:customStyle="1" w:styleId="diverse">
    <w:name w:val="diverse"/>
    <w:basedOn w:val="Normal"/>
    <w:rPr>
      <w:sz w:val="18"/>
    </w:rPr>
  </w:style>
  <w:style w:type="paragraph" w:customStyle="1" w:styleId="BlankLinje">
    <w:name w:val="BlankLinje"/>
    <w:basedOn w:val="Brdtekst"/>
    <w:next w:val="Brdtekst"/>
    <w:rPr>
      <w:sz w:val="28"/>
    </w:rPr>
  </w:style>
  <w:style w:type="character" w:styleId="Sidetal">
    <w:name w:val="page number"/>
    <w:basedOn w:val="Standardskrifttypeiafsnit"/>
  </w:style>
  <w:style w:type="paragraph" w:customStyle="1" w:styleId="datomv">
    <w:name w:val="datomv"/>
    <w:basedOn w:val="skakt"/>
    <w:pPr>
      <w:framePr w:w="0" w:hRule="auto" w:hSpace="142" w:wrap="around" w:vAnchor="text" w:hAnchor="text" w:x="9073" w:y="1"/>
    </w:pPr>
    <w:rPr>
      <w:rFonts w:ascii="Times New Roman" w:hAnsi="Times New Roman"/>
      <w:sz w:val="22"/>
    </w:rPr>
  </w:style>
  <w:style w:type="paragraph" w:styleId="Sidehoved">
    <w:name w:val="header"/>
    <w:basedOn w:val="Normal"/>
    <w:link w:val="SidehovedTegn"/>
    <w:uiPriority w:val="99"/>
    <w:pPr>
      <w:tabs>
        <w:tab w:val="center" w:pos="4819"/>
        <w:tab w:val="right" w:pos="9638"/>
      </w:tabs>
    </w:pPr>
  </w:style>
  <w:style w:type="paragraph" w:customStyle="1" w:styleId="modt">
    <w:name w:val="modt"/>
    <w:basedOn w:val="Normal"/>
  </w:style>
  <w:style w:type="paragraph" w:styleId="Sidefod">
    <w:name w:val="footer"/>
    <w:basedOn w:val="Normal"/>
    <w:link w:val="SidefodTegn"/>
    <w:uiPriority w:val="99"/>
    <w:pPr>
      <w:tabs>
        <w:tab w:val="center" w:pos="4819"/>
        <w:tab w:val="right" w:pos="9638"/>
      </w:tabs>
    </w:pPr>
  </w:style>
  <w:style w:type="paragraph" w:customStyle="1" w:styleId="Enhed">
    <w:name w:val="Enhed"/>
    <w:basedOn w:val="Normal"/>
    <w:pPr>
      <w:framePr w:h="454" w:hRule="exact" w:wrap="around" w:vAnchor="page" w:hAnchor="page" w:x="9186" w:y="1702"/>
    </w:pPr>
    <w:rPr>
      <w:rFonts w:ascii="Arial" w:hAnsi="Arial"/>
      <w:b/>
      <w:caps/>
      <w:sz w:val="15"/>
    </w:rPr>
  </w:style>
  <w:style w:type="paragraph" w:styleId="Brdtekst">
    <w:name w:val="Body Text"/>
    <w:basedOn w:val="Normal"/>
  </w:style>
  <w:style w:type="paragraph" w:customStyle="1" w:styleId="SkaktNormal">
    <w:name w:val="SkaktNormal"/>
    <w:basedOn w:val="Normal"/>
    <w:pPr>
      <w:framePr w:hSpace="142" w:wrap="around" w:vAnchor="text" w:hAnchor="page" w:x="9186" w:y="1" w:anchorLock="1"/>
      <w:tabs>
        <w:tab w:val="left" w:pos="335"/>
      </w:tabs>
    </w:pPr>
    <w:rPr>
      <w:rFonts w:ascii="Arial" w:hAnsi="Arial"/>
      <w:noProof/>
      <w:spacing w:val="4"/>
      <w:sz w:val="16"/>
    </w:rPr>
  </w:style>
  <w:style w:type="paragraph" w:customStyle="1" w:styleId="SkaktBlankLinje">
    <w:name w:val="SkaktBlankLinje"/>
    <w:basedOn w:val="SkaktNormal"/>
    <w:pPr>
      <w:framePr w:wrap="around" w:x="9165" w:y="1537"/>
      <w:spacing w:line="300" w:lineRule="exact"/>
    </w:pPr>
    <w:rPr>
      <w:sz w:val="22"/>
      <w:lang w:val="en-US"/>
    </w:rPr>
  </w:style>
  <w:style w:type="paragraph" w:customStyle="1" w:styleId="skaktfed">
    <w:name w:val="skaktfed"/>
    <w:basedOn w:val="datomv"/>
    <w:pPr>
      <w:framePr w:wrap="around" w:vAnchor="page" w:x="9186" w:y="2241"/>
      <w:spacing w:line="240" w:lineRule="atLeast"/>
    </w:pPr>
    <w:rPr>
      <w:rFonts w:ascii="Arial Black" w:hAnsi="Arial Black"/>
      <w:b/>
      <w:spacing w:val="12"/>
      <w:sz w:val="13"/>
    </w:rPr>
  </w:style>
  <w:style w:type="paragraph" w:customStyle="1" w:styleId="skaktfedlille">
    <w:name w:val="skaktfedlille"/>
    <w:pPr>
      <w:spacing w:line="280" w:lineRule="atLeast"/>
    </w:pPr>
    <w:rPr>
      <w:rFonts w:ascii="Arial Black" w:hAnsi="Arial Black"/>
      <w:b/>
      <w:spacing w:val="4"/>
      <w:sz w:val="12"/>
      <w:lang w:val="en-GB" w:eastAsia="en-US"/>
    </w:rPr>
  </w:style>
  <w:style w:type="character" w:styleId="Pladsholdertekst">
    <w:name w:val="Placeholder Text"/>
    <w:basedOn w:val="Standardskrifttypeiafsnit"/>
    <w:uiPriority w:val="99"/>
    <w:semiHidden/>
    <w:rsid w:val="00B36902"/>
    <w:rPr>
      <w:color w:val="808080"/>
    </w:rPr>
  </w:style>
  <w:style w:type="paragraph" w:styleId="Markeringsbobletekst">
    <w:name w:val="Balloon Text"/>
    <w:basedOn w:val="Normal"/>
    <w:link w:val="MarkeringsbobletekstTegn"/>
    <w:unhideWhenUsed/>
    <w:rsid w:val="00B3690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B36902"/>
    <w:rPr>
      <w:rFonts w:ascii="Tahoma" w:hAnsi="Tahoma" w:cs="Tahoma"/>
      <w:sz w:val="16"/>
      <w:szCs w:val="16"/>
      <w:lang w:eastAsia="en-US"/>
    </w:rPr>
  </w:style>
  <w:style w:type="character" w:customStyle="1" w:styleId="SidehovedTegn">
    <w:name w:val="Sidehoved Tegn"/>
    <w:basedOn w:val="Standardskrifttypeiafsnit"/>
    <w:link w:val="Sidehoved"/>
    <w:uiPriority w:val="99"/>
    <w:rsid w:val="00A76F59"/>
    <w:rPr>
      <w:sz w:val="22"/>
      <w:lang w:eastAsia="en-US"/>
    </w:rPr>
  </w:style>
  <w:style w:type="character" w:customStyle="1" w:styleId="Typografi1">
    <w:name w:val="Typografi1"/>
    <w:basedOn w:val="Standardskrifttypeiafsnit"/>
    <w:uiPriority w:val="1"/>
    <w:rsid w:val="003E3DCF"/>
    <w:rPr>
      <w:b/>
    </w:rPr>
  </w:style>
  <w:style w:type="character" w:customStyle="1" w:styleId="Typografi2">
    <w:name w:val="Typografi2"/>
    <w:basedOn w:val="Standardskrifttypeiafsnit"/>
    <w:uiPriority w:val="1"/>
    <w:rsid w:val="003B009E"/>
    <w:rPr>
      <w:sz w:val="24"/>
    </w:rPr>
  </w:style>
  <w:style w:type="character" w:customStyle="1" w:styleId="Standard">
    <w:name w:val="Standard"/>
    <w:basedOn w:val="Standardskrifttypeiafsnit"/>
    <w:uiPriority w:val="1"/>
    <w:rsid w:val="003B009E"/>
    <w:rPr>
      <w:rFonts w:ascii="Times New Roman" w:hAnsi="Times New Roman"/>
      <w:sz w:val="24"/>
    </w:rPr>
  </w:style>
  <w:style w:type="character" w:customStyle="1" w:styleId="Typografi3">
    <w:name w:val="Typografi3"/>
    <w:basedOn w:val="Standardskrifttypeiafsnit"/>
    <w:uiPriority w:val="1"/>
    <w:rsid w:val="002745AB"/>
    <w:rPr>
      <w:b/>
    </w:rPr>
  </w:style>
  <w:style w:type="paragraph" w:customStyle="1" w:styleId="TableParagraph">
    <w:name w:val="Table Paragraph"/>
    <w:basedOn w:val="Normal"/>
    <w:uiPriority w:val="1"/>
    <w:qFormat/>
    <w:rsid w:val="00DF51E7"/>
    <w:pPr>
      <w:widowControl w:val="0"/>
      <w:autoSpaceDE w:val="0"/>
      <w:autoSpaceDN w:val="0"/>
      <w:spacing w:before="17" w:line="238" w:lineRule="exact"/>
      <w:ind w:left="107"/>
    </w:pPr>
    <w:rPr>
      <w:rFonts w:ascii="Campton Book" w:eastAsia="Campton Book" w:hAnsi="Campton Book" w:cs="Campton Book"/>
      <w:sz w:val="24"/>
      <w:szCs w:val="22"/>
    </w:rPr>
  </w:style>
  <w:style w:type="character" w:styleId="Hyperlink">
    <w:name w:val="Hyperlink"/>
    <w:basedOn w:val="Standardskrifttypeiafsnit"/>
    <w:uiPriority w:val="99"/>
    <w:unhideWhenUsed/>
    <w:rsid w:val="00DF51E7"/>
    <w:rPr>
      <w:color w:val="0000FF" w:themeColor="hyperlink"/>
      <w:u w:val="single"/>
    </w:rPr>
  </w:style>
  <w:style w:type="paragraph" w:styleId="Listeafsnit">
    <w:name w:val="List Paragraph"/>
    <w:basedOn w:val="Normal"/>
    <w:uiPriority w:val="34"/>
    <w:qFormat/>
    <w:rsid w:val="00DF51E7"/>
    <w:pPr>
      <w:tabs>
        <w:tab w:val="left" w:pos="340"/>
      </w:tabs>
      <w:spacing w:line="280" w:lineRule="atLeast"/>
      <w:ind w:left="720"/>
      <w:contextualSpacing/>
    </w:pPr>
    <w:rPr>
      <w:rFonts w:ascii="Garamond" w:hAnsi="Garamond"/>
      <w:sz w:val="24"/>
      <w:szCs w:val="24"/>
    </w:rPr>
  </w:style>
  <w:style w:type="paragraph" w:styleId="Fodnotetekst">
    <w:name w:val="footnote text"/>
    <w:basedOn w:val="Normal"/>
    <w:link w:val="FodnotetekstTegn"/>
    <w:uiPriority w:val="99"/>
    <w:semiHidden/>
    <w:unhideWhenUsed/>
    <w:rsid w:val="00DF51E7"/>
    <w:pPr>
      <w:spacing w:line="240" w:lineRule="auto"/>
    </w:pPr>
    <w:rPr>
      <w:rFonts w:ascii="Arial" w:hAnsi="Arial"/>
      <w:sz w:val="20"/>
      <w:lang w:eastAsia="da-DK"/>
    </w:rPr>
  </w:style>
  <w:style w:type="character" w:customStyle="1" w:styleId="FodnotetekstTegn">
    <w:name w:val="Fodnotetekst Tegn"/>
    <w:basedOn w:val="Standardskrifttypeiafsnit"/>
    <w:link w:val="Fodnotetekst"/>
    <w:uiPriority w:val="99"/>
    <w:semiHidden/>
    <w:rsid w:val="00DF51E7"/>
    <w:rPr>
      <w:rFonts w:ascii="Arial" w:hAnsi="Arial"/>
    </w:rPr>
  </w:style>
  <w:style w:type="character" w:styleId="Fodnotehenvisning">
    <w:name w:val="footnote reference"/>
    <w:basedOn w:val="Standardskrifttypeiafsnit"/>
    <w:uiPriority w:val="99"/>
    <w:semiHidden/>
    <w:unhideWhenUsed/>
    <w:rsid w:val="00DF51E7"/>
    <w:rPr>
      <w:vertAlign w:val="superscript"/>
    </w:rPr>
  </w:style>
  <w:style w:type="table" w:customStyle="1" w:styleId="TableNormal1">
    <w:name w:val="Table Normal1"/>
    <w:uiPriority w:val="2"/>
    <w:semiHidden/>
    <w:qFormat/>
    <w:rsid w:val="00DF51E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Ulstomtale">
    <w:name w:val="Unresolved Mention"/>
    <w:basedOn w:val="Standardskrifttypeiafsnit"/>
    <w:uiPriority w:val="99"/>
    <w:semiHidden/>
    <w:unhideWhenUsed/>
    <w:rsid w:val="00B00EEF"/>
    <w:rPr>
      <w:color w:val="605E5C"/>
      <w:shd w:val="clear" w:color="auto" w:fill="E1DFDD"/>
    </w:rPr>
  </w:style>
  <w:style w:type="character" w:customStyle="1" w:styleId="SidefodTegn">
    <w:name w:val="Sidefod Tegn"/>
    <w:basedOn w:val="Standardskrifttypeiafsnit"/>
    <w:link w:val="Sidefod"/>
    <w:uiPriority w:val="99"/>
    <w:rsid w:val="00B00EE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newsroom/dae/document.cfm?doc_id=62936" TargetMode="External"/><Relationship Id="rId13" Type="http://schemas.openxmlformats.org/officeDocument/2006/relationships/hyperlink" Target="mailto:cagcit@erst.dk"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ec.europa.eu/newsroom/dae/document.cfm?doc_id=62936" TargetMode="External"/><Relationship Id="rId12" Type="http://schemas.openxmlformats.org/officeDocument/2006/relationships/hyperlink" Target="mailto:simhau@erst.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newsroom/dae/document.cfm?doc_id=6293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imhau@erst.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gcit@erst.d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54854\AppData\Local\cBrain\F2\.tmp\8485217e3dc0490eb2b4c5bf686e834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396514096347378C2CF8E405E133AC"/>
        <w:category>
          <w:name w:val="Generelt"/>
          <w:gallery w:val="placeholder"/>
        </w:category>
        <w:types>
          <w:type w:val="bbPlcHdr"/>
        </w:types>
        <w:behaviors>
          <w:behavior w:val="content"/>
        </w:behaviors>
        <w:guid w:val="{DA6B87DF-53BA-4A78-A3B0-27586E2DED90}"/>
      </w:docPartPr>
      <w:docPartBody>
        <w:p w:rsidR="00A6080D" w:rsidRDefault="006E3F4F">
          <w:pPr>
            <w:pStyle w:val="87396514096347378C2CF8E405E133AC"/>
          </w:pPr>
          <w:r w:rsidRPr="00B27378">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pton Book">
    <w:altName w:val="Calibri"/>
    <w:charset w:val="00"/>
    <w:family w:val="auto"/>
    <w:pitch w:val="variable"/>
    <w:sig w:usb0="00000007" w:usb1="00000023" w:usb2="00000000" w:usb3="00000000" w:csb0="00000093"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0D"/>
    <w:rsid w:val="006E3F4F"/>
    <w:rsid w:val="00A6080D"/>
    <w:rsid w:val="00DB2F08"/>
    <w:rsid w:val="00DC49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87396514096347378C2CF8E405E133AC">
    <w:name w:val="87396514096347378C2CF8E405E13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8485217e3dc0490eb2b4c5bf686e8347.dotx</Template>
  <TotalTime>1</TotalTime>
  <Pages>7</Pages>
  <Words>2433</Words>
  <Characters>14842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Erhvervsstyrelsen</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Cagdas Citirikkaya</dc:creator>
  <cp:lastModifiedBy>Ida Windfeld</cp:lastModifiedBy>
  <cp:revision>2</cp:revision>
  <cp:lastPrinted>2020-06-30T11:09:00Z</cp:lastPrinted>
  <dcterms:created xsi:type="dcterms:W3CDTF">2023-05-02T12:27:00Z</dcterms:created>
  <dcterms:modified xsi:type="dcterms:W3CDTF">2023-05-02T12:27:00Z</dcterms:modified>
</cp:coreProperties>
</file>