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E4" w:rsidRPr="00FD7120" w:rsidRDefault="002923E4" w:rsidP="00EA139E">
      <w:pPr>
        <w:rPr>
          <w:rFonts w:ascii="Arial" w:hAnsi="Arial" w:cs="Arial"/>
          <w:b/>
          <w:sz w:val="32"/>
          <w:szCs w:val="23"/>
        </w:rPr>
      </w:pPr>
      <w:bookmarkStart w:id="0" w:name="_GoBack"/>
      <w:bookmarkEnd w:id="0"/>
      <w:r w:rsidRPr="00FD7120">
        <w:rPr>
          <w:rFonts w:ascii="Arial" w:hAnsi="Arial" w:cs="Arial"/>
          <w:b/>
          <w:sz w:val="32"/>
          <w:szCs w:val="23"/>
        </w:rPr>
        <w:t xml:space="preserve">Valgfrit skema til </w:t>
      </w:r>
      <w:r w:rsidR="006F2252">
        <w:rPr>
          <w:rFonts w:ascii="Arial" w:hAnsi="Arial" w:cs="Arial"/>
          <w:b/>
          <w:sz w:val="32"/>
          <w:szCs w:val="23"/>
        </w:rPr>
        <w:t>vurdering af offentlige implementeringskonsekvenser</w:t>
      </w:r>
    </w:p>
    <w:p w:rsidR="002923E4" w:rsidRPr="00FD7120" w:rsidRDefault="00512932" w:rsidP="002923E4">
      <w:pPr>
        <w:jc w:val="both"/>
        <w:rPr>
          <w:rFonts w:ascii="Arial" w:hAnsi="Arial" w:cs="Arial"/>
        </w:rPr>
      </w:pPr>
      <w:r>
        <w:rPr>
          <w:rFonts w:ascii="Arial" w:hAnsi="Arial" w:cs="Arial"/>
        </w:rPr>
        <w:t>Anvendelse af s</w:t>
      </w:r>
      <w:r w:rsidR="006F2252">
        <w:rPr>
          <w:rFonts w:ascii="Arial" w:hAnsi="Arial" w:cs="Arial"/>
        </w:rPr>
        <w:t>kemaet</w:t>
      </w:r>
      <w:r w:rsidR="002923E4" w:rsidRPr="00FD7120">
        <w:rPr>
          <w:rFonts w:ascii="Arial" w:hAnsi="Arial" w:cs="Arial"/>
        </w:rPr>
        <w:t xml:space="preserve"> </w:t>
      </w:r>
      <w:r w:rsidR="002C1BA5">
        <w:rPr>
          <w:rFonts w:ascii="Arial" w:hAnsi="Arial" w:cs="Arial"/>
        </w:rPr>
        <w:t xml:space="preserve">er valgfrit og </w:t>
      </w:r>
      <w:r w:rsidR="003C086E">
        <w:rPr>
          <w:rFonts w:ascii="Arial" w:hAnsi="Arial" w:cs="Arial"/>
        </w:rPr>
        <w:t xml:space="preserve">kan </w:t>
      </w:r>
      <w:r>
        <w:rPr>
          <w:rFonts w:ascii="Arial" w:hAnsi="Arial" w:cs="Arial"/>
        </w:rPr>
        <w:t>be</w:t>
      </w:r>
      <w:r w:rsidR="00085C55">
        <w:rPr>
          <w:rFonts w:ascii="Arial" w:hAnsi="Arial" w:cs="Arial"/>
        </w:rPr>
        <w:t xml:space="preserve">nyttes med henblik på at uddybe og redegøre for vurderingen af lovforslagets offentlige implementeringskonsekvenser i lovbemærkningerne. </w:t>
      </w:r>
      <w:r w:rsidR="007E5136">
        <w:rPr>
          <w:rFonts w:ascii="Arial" w:hAnsi="Arial" w:cs="Arial"/>
        </w:rPr>
        <w:t>Besvarelserne bør følge</w:t>
      </w:r>
      <w:r w:rsidR="002923E4" w:rsidRPr="00FD7120">
        <w:rPr>
          <w:rFonts w:ascii="Arial" w:hAnsi="Arial" w:cs="Arial"/>
        </w:rPr>
        <w:t xml:space="preserve"> angivelser i </w:t>
      </w:r>
      <w:r w:rsidR="000A506C" w:rsidRPr="00FD7120">
        <w:rPr>
          <w:rFonts w:ascii="Arial" w:hAnsi="Arial" w:cs="Arial"/>
        </w:rPr>
        <w:t>V</w:t>
      </w:r>
      <w:r w:rsidR="002923E4" w:rsidRPr="00FD7120">
        <w:rPr>
          <w:rFonts w:ascii="Arial" w:hAnsi="Arial" w:cs="Arial"/>
        </w:rPr>
        <w:t>ejledning</w:t>
      </w:r>
      <w:r w:rsidR="000A506C" w:rsidRPr="00FD7120">
        <w:rPr>
          <w:rFonts w:ascii="Arial" w:hAnsi="Arial" w:cs="Arial"/>
        </w:rPr>
        <w:t xml:space="preserve"> om </w:t>
      </w:r>
      <w:proofErr w:type="spellStart"/>
      <w:r w:rsidR="000A506C" w:rsidRPr="00FD7120">
        <w:rPr>
          <w:rFonts w:ascii="Arial" w:hAnsi="Arial" w:cs="Arial"/>
        </w:rPr>
        <w:t>digitaliseringsklar</w:t>
      </w:r>
      <w:proofErr w:type="spellEnd"/>
      <w:r w:rsidR="000A506C" w:rsidRPr="00FD7120">
        <w:rPr>
          <w:rFonts w:ascii="Arial" w:hAnsi="Arial" w:cs="Arial"/>
        </w:rPr>
        <w:t xml:space="preserve"> lovgivning,</w:t>
      </w:r>
      <w:r w:rsidR="002923E4" w:rsidRPr="00FD7120">
        <w:rPr>
          <w:rFonts w:ascii="Arial" w:hAnsi="Arial" w:cs="Arial"/>
        </w:rPr>
        <w:t xml:space="preserve"> og </w:t>
      </w:r>
      <w:r w:rsidR="00317EC5">
        <w:rPr>
          <w:rFonts w:ascii="Arial" w:hAnsi="Arial" w:cs="Arial"/>
        </w:rPr>
        <w:t xml:space="preserve">kan sendes sammen </w:t>
      </w:r>
      <w:r w:rsidR="002923E4" w:rsidRPr="00FD7120">
        <w:rPr>
          <w:rFonts w:ascii="Arial" w:hAnsi="Arial" w:cs="Arial"/>
        </w:rPr>
        <w:t xml:space="preserve">med udkast til lovforslag til Sekretariat for </w:t>
      </w:r>
      <w:proofErr w:type="spellStart"/>
      <w:r w:rsidR="002923E4" w:rsidRPr="00FD7120">
        <w:rPr>
          <w:rFonts w:ascii="Arial" w:hAnsi="Arial" w:cs="Arial"/>
        </w:rPr>
        <w:t>digitaliseringsklar</w:t>
      </w:r>
      <w:proofErr w:type="spellEnd"/>
      <w:r w:rsidR="002923E4" w:rsidRPr="00FD7120">
        <w:rPr>
          <w:rFonts w:ascii="Arial" w:hAnsi="Arial" w:cs="Arial"/>
        </w:rPr>
        <w:t xml:space="preserve"> lovgivning på </w:t>
      </w:r>
      <w:hyperlink r:id="rId9" w:history="1">
        <w:r w:rsidR="002923E4" w:rsidRPr="00FD7120">
          <w:rPr>
            <w:rStyle w:val="Hyperlink"/>
            <w:rFonts w:ascii="Arial" w:hAnsi="Arial" w:cs="Arial"/>
          </w:rPr>
          <w:t>klarlovgivning@digst.dk</w:t>
        </w:r>
      </w:hyperlink>
      <w:r w:rsidR="002923E4" w:rsidRPr="00FD7120">
        <w:rPr>
          <w:rFonts w:ascii="Arial" w:hAnsi="Arial" w:cs="Arial"/>
        </w:rPr>
        <w:t xml:space="preserve"> så vidt muligt 6 uger inden </w:t>
      </w:r>
      <w:r w:rsidR="006F2252">
        <w:rPr>
          <w:rFonts w:ascii="Arial" w:hAnsi="Arial" w:cs="Arial"/>
        </w:rPr>
        <w:t xml:space="preserve">lovforslaget sendes i </w:t>
      </w:r>
      <w:r w:rsidR="002923E4" w:rsidRPr="00FD7120">
        <w:rPr>
          <w:rFonts w:ascii="Arial" w:hAnsi="Arial" w:cs="Arial"/>
        </w:rPr>
        <w:t xml:space="preserve">offentlig høring. </w:t>
      </w:r>
    </w:p>
    <w:p w:rsidR="00085C55" w:rsidRPr="007E5136" w:rsidRDefault="006F2252">
      <w:pPr>
        <w:rPr>
          <w:rFonts w:ascii="Garamond" w:hAnsi="Garamond"/>
          <w:b/>
          <w:sz w:val="32"/>
        </w:rPr>
      </w:pPr>
      <w:r>
        <w:rPr>
          <w:rFonts w:ascii="Arial" w:hAnsi="Arial" w:cs="Arial"/>
        </w:rPr>
        <w:t xml:space="preserve">Fagministeriets vurdering af </w:t>
      </w:r>
      <w:r w:rsidR="00F5423D">
        <w:rPr>
          <w:rFonts w:ascii="Arial" w:hAnsi="Arial" w:cs="Arial"/>
        </w:rPr>
        <w:t xml:space="preserve">de </w:t>
      </w:r>
      <w:r>
        <w:rPr>
          <w:rFonts w:ascii="Arial" w:hAnsi="Arial" w:cs="Arial"/>
        </w:rPr>
        <w:t xml:space="preserve">offentlige implementeringskonsekvenser </w:t>
      </w:r>
      <w:r w:rsidR="002923E4" w:rsidRPr="00FD7120">
        <w:rPr>
          <w:rFonts w:ascii="Arial" w:hAnsi="Arial" w:cs="Arial"/>
        </w:rPr>
        <w:t>omfatte</w:t>
      </w:r>
      <w:r w:rsidR="009835C5">
        <w:rPr>
          <w:rFonts w:ascii="Arial" w:hAnsi="Arial" w:cs="Arial"/>
        </w:rPr>
        <w:t>r</w:t>
      </w:r>
      <w:r w:rsidR="002923E4" w:rsidRPr="00FD7120">
        <w:rPr>
          <w:rFonts w:ascii="Arial" w:hAnsi="Arial" w:cs="Arial"/>
        </w:rPr>
        <w:t xml:space="preserve"> </w:t>
      </w:r>
      <w:r w:rsidR="009835C5">
        <w:rPr>
          <w:rFonts w:ascii="Arial" w:hAnsi="Arial" w:cs="Arial"/>
        </w:rPr>
        <w:t xml:space="preserve">dels </w:t>
      </w:r>
      <w:r w:rsidR="002923E4" w:rsidRPr="00FD7120">
        <w:rPr>
          <w:rFonts w:ascii="Arial" w:hAnsi="Arial" w:cs="Arial"/>
        </w:rPr>
        <w:t xml:space="preserve">en beskrivelse af, </w:t>
      </w:r>
      <w:r w:rsidR="009835C5">
        <w:rPr>
          <w:rFonts w:ascii="Arial" w:hAnsi="Arial" w:cs="Arial"/>
        </w:rPr>
        <w:t xml:space="preserve">om lovforslaget følger </w:t>
      </w:r>
      <w:r w:rsidR="002923E4" w:rsidRPr="00FD7120">
        <w:rPr>
          <w:rFonts w:ascii="Arial" w:hAnsi="Arial" w:cs="Arial"/>
        </w:rPr>
        <w:t>principper</w:t>
      </w:r>
      <w:r>
        <w:rPr>
          <w:rFonts w:ascii="Arial" w:hAnsi="Arial" w:cs="Arial"/>
        </w:rPr>
        <w:t xml:space="preserve"> for </w:t>
      </w:r>
      <w:proofErr w:type="spellStart"/>
      <w:r>
        <w:rPr>
          <w:rFonts w:ascii="Arial" w:hAnsi="Arial" w:cs="Arial"/>
        </w:rPr>
        <w:t>digitaliseringsklar</w:t>
      </w:r>
      <w:proofErr w:type="spellEnd"/>
      <w:r>
        <w:rPr>
          <w:rFonts w:ascii="Arial" w:hAnsi="Arial" w:cs="Arial"/>
        </w:rPr>
        <w:t xml:space="preserve"> lovgivning</w:t>
      </w:r>
      <w:r w:rsidR="009835C5">
        <w:rPr>
          <w:rFonts w:ascii="Arial" w:hAnsi="Arial" w:cs="Arial"/>
        </w:rPr>
        <w:t xml:space="preserve"> samt dels en beskrivelse af en række øvrige implementeringskonsekvenser. </w:t>
      </w:r>
      <w:r w:rsidR="002923E4" w:rsidRPr="00FD7120">
        <w:rPr>
          <w:rFonts w:ascii="Arial" w:hAnsi="Arial" w:cs="Arial"/>
        </w:rPr>
        <w:t>I tilfælde, hvor principperne må fraviges eller ikke er relevante angives en begrundelse herfor.</w:t>
      </w:r>
      <w:r w:rsidR="009835C5">
        <w:rPr>
          <w:rFonts w:ascii="Arial" w:hAnsi="Arial" w:cs="Arial"/>
        </w:rPr>
        <w:t xml:space="preserve"> </w:t>
      </w:r>
      <w:r w:rsidR="007E5136">
        <w:rPr>
          <w:rFonts w:ascii="Arial" w:hAnsi="Arial" w:cs="Arial"/>
        </w:rPr>
        <w:t>D</w:t>
      </w:r>
      <w:r w:rsidR="0032333E">
        <w:rPr>
          <w:rFonts w:ascii="Arial" w:hAnsi="Arial" w:cs="Arial"/>
        </w:rPr>
        <w:t>er er</w:t>
      </w:r>
      <w:r w:rsidR="00317EC5">
        <w:rPr>
          <w:rFonts w:ascii="Arial" w:hAnsi="Arial" w:cs="Arial"/>
        </w:rPr>
        <w:t xml:space="preserve"> </w:t>
      </w:r>
      <w:r w:rsidR="009835C5">
        <w:rPr>
          <w:rFonts w:ascii="Arial" w:hAnsi="Arial" w:cs="Arial"/>
        </w:rPr>
        <w:t>angivet en række tjekspørgsmål, som kan anvendes som hjælp til fagministeriets vurdering og beskrivelse af offentlige implementeringskonsekvenser.</w:t>
      </w:r>
    </w:p>
    <w:tbl>
      <w:tblPr>
        <w:tblStyle w:val="Tabel-Gitter"/>
        <w:tblW w:w="15877" w:type="dxa"/>
        <w:tblInd w:w="-34" w:type="dxa"/>
        <w:tblLayout w:type="fixed"/>
        <w:tblLook w:val="04A0" w:firstRow="1" w:lastRow="0" w:firstColumn="1" w:lastColumn="0" w:noHBand="0" w:noVBand="1"/>
      </w:tblPr>
      <w:tblGrid>
        <w:gridCol w:w="1560"/>
        <w:gridCol w:w="8505"/>
        <w:gridCol w:w="5812"/>
      </w:tblGrid>
      <w:tr w:rsidR="00085C55" w:rsidRPr="004F1BF5" w:rsidTr="004F1BF5">
        <w:trPr>
          <w:trHeight w:val="484"/>
        </w:trPr>
        <w:tc>
          <w:tcPr>
            <w:tcW w:w="10065" w:type="dxa"/>
            <w:gridSpan w:val="2"/>
            <w:shd w:val="clear" w:color="auto" w:fill="940027"/>
            <w:vAlign w:val="center"/>
          </w:tcPr>
          <w:p w:rsidR="00085C55" w:rsidRPr="004F1BF5" w:rsidRDefault="00085C55" w:rsidP="004F1BF5">
            <w:pPr>
              <w:jc w:val="center"/>
              <w:rPr>
                <w:rFonts w:ascii="Arial" w:hAnsi="Arial" w:cs="Arial"/>
                <w:b/>
                <w:color w:val="F9F8E0"/>
                <w:szCs w:val="16"/>
              </w:rPr>
            </w:pPr>
            <w:r w:rsidRPr="004F1BF5">
              <w:rPr>
                <w:rFonts w:ascii="Arial" w:hAnsi="Arial" w:cs="Arial"/>
                <w:b/>
                <w:color w:val="F9F8E0"/>
                <w:szCs w:val="16"/>
              </w:rPr>
              <w:t>Tjekspørgsmål</w:t>
            </w:r>
          </w:p>
        </w:tc>
        <w:tc>
          <w:tcPr>
            <w:tcW w:w="5812" w:type="dxa"/>
            <w:shd w:val="clear" w:color="auto" w:fill="940027"/>
            <w:vAlign w:val="center"/>
          </w:tcPr>
          <w:p w:rsidR="00085C55" w:rsidRPr="004F1BF5" w:rsidRDefault="00085C55" w:rsidP="004F1BF5">
            <w:pPr>
              <w:jc w:val="center"/>
              <w:rPr>
                <w:rFonts w:ascii="Arial" w:hAnsi="Arial" w:cs="Arial"/>
                <w:b/>
                <w:color w:val="F9F8E0"/>
                <w:szCs w:val="16"/>
              </w:rPr>
            </w:pPr>
            <w:r w:rsidRPr="004F1BF5">
              <w:rPr>
                <w:rFonts w:ascii="Arial" w:hAnsi="Arial" w:cs="Arial"/>
                <w:b/>
                <w:color w:val="F9F8E0"/>
                <w:szCs w:val="16"/>
              </w:rPr>
              <w:t>Fritekst</w:t>
            </w:r>
          </w:p>
        </w:tc>
      </w:tr>
      <w:tr w:rsidR="00085C55" w:rsidRPr="004F1BF5" w:rsidTr="00676955">
        <w:tc>
          <w:tcPr>
            <w:tcW w:w="15877" w:type="dxa"/>
            <w:gridSpan w:val="3"/>
            <w:shd w:val="clear" w:color="auto" w:fill="940027"/>
          </w:tcPr>
          <w:p w:rsidR="00085C55" w:rsidRPr="004F1BF5" w:rsidRDefault="004F1BF5" w:rsidP="000B1681">
            <w:pPr>
              <w:jc w:val="center"/>
              <w:rPr>
                <w:rFonts w:ascii="Arial" w:hAnsi="Arial" w:cs="Arial"/>
                <w:b/>
                <w:i/>
                <w:color w:val="F9F8E0"/>
                <w:sz w:val="20"/>
                <w:szCs w:val="16"/>
              </w:rPr>
            </w:pPr>
            <w:r w:rsidRPr="004F1BF5">
              <w:rPr>
                <w:rFonts w:ascii="Arial" w:hAnsi="Arial" w:cs="Arial"/>
                <w:b/>
                <w:i/>
                <w:color w:val="F9F8E0"/>
                <w:sz w:val="20"/>
                <w:szCs w:val="16"/>
              </w:rPr>
              <w:t xml:space="preserve">            </w:t>
            </w:r>
            <w:r w:rsidR="00085C55" w:rsidRPr="004F1BF5">
              <w:rPr>
                <w:rFonts w:ascii="Arial" w:hAnsi="Arial" w:cs="Arial"/>
                <w:b/>
                <w:i/>
                <w:color w:val="F9F8E0"/>
                <w:sz w:val="20"/>
                <w:szCs w:val="16"/>
              </w:rPr>
              <w:t>Syv principper for digitaliseringsklar lovgivning</w:t>
            </w:r>
          </w:p>
        </w:tc>
      </w:tr>
      <w:tr w:rsidR="004F1BF5" w:rsidRPr="00FD7120" w:rsidTr="004F1BF5">
        <w:trPr>
          <w:trHeight w:val="1100"/>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 xml:space="preserve">Princip 1: </w:t>
            </w:r>
            <w:r w:rsidRPr="004F1BF5">
              <w:rPr>
                <w:rFonts w:ascii="Arial" w:hAnsi="Arial" w:cs="Arial"/>
                <w:b/>
                <w:color w:val="F9F8E0"/>
                <w:sz w:val="16"/>
                <w:szCs w:val="16"/>
              </w:rPr>
              <w:br/>
              <w:t>Enkle og klare regler</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regler og begreber formuleret på en klar, enkel, entydig og konsistent måde?</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Skelnes der klart mellem hovedregler og undtagelser?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Såfremt reglerne indeholder proceskrav: Kan lovteksten omsættes til en række arbejdsopgaver, og er beskrivelsen af de enkelte trin oplistet i den for arbejdsgangen sekventielle rækkefølge i loven?</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det tydeligt, hvilke aktører bestemmelserne retter sig mod?</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viden om implementeringskonsekvenser, fx sagsbehandlingstider, inddraget i lovudarbejdelsen?</w:t>
            </w:r>
          </w:p>
        </w:tc>
        <w:tc>
          <w:tcPr>
            <w:tcW w:w="5812" w:type="dxa"/>
            <w:shd w:val="clear" w:color="auto" w:fill="FFFFFF" w:themeFill="background1"/>
          </w:tcPr>
          <w:p w:rsidR="002C1BA5" w:rsidRPr="007E5136" w:rsidRDefault="007E5136" w:rsidP="007E5136">
            <w:pPr>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7E5136" w:rsidRPr="00FD7120" w:rsidTr="004F1BF5">
        <w:trPr>
          <w:trHeight w:val="1681"/>
        </w:trPr>
        <w:tc>
          <w:tcPr>
            <w:tcW w:w="1560" w:type="dxa"/>
            <w:shd w:val="clear" w:color="auto" w:fill="940027"/>
          </w:tcPr>
          <w:p w:rsidR="007E5136" w:rsidRPr="004F1BF5" w:rsidRDefault="007E5136" w:rsidP="000B1681">
            <w:pPr>
              <w:rPr>
                <w:rFonts w:ascii="Arial" w:hAnsi="Arial" w:cs="Arial"/>
                <w:b/>
                <w:color w:val="F9F8E0"/>
                <w:sz w:val="16"/>
                <w:szCs w:val="16"/>
              </w:rPr>
            </w:pPr>
            <w:r w:rsidRPr="004F1BF5">
              <w:rPr>
                <w:rFonts w:ascii="Arial" w:hAnsi="Arial" w:cs="Arial"/>
                <w:b/>
                <w:color w:val="F9F8E0"/>
                <w:sz w:val="16"/>
                <w:szCs w:val="16"/>
              </w:rPr>
              <w:t xml:space="preserve">Princip 2: </w:t>
            </w:r>
            <w:r w:rsidRPr="004F1BF5">
              <w:rPr>
                <w:rFonts w:ascii="Arial" w:hAnsi="Arial" w:cs="Arial"/>
                <w:b/>
                <w:color w:val="F9F8E0"/>
                <w:sz w:val="16"/>
                <w:szCs w:val="16"/>
              </w:rPr>
              <w:br/>
              <w:t xml:space="preserve">Digital kommunikation </w:t>
            </w:r>
          </w:p>
        </w:tc>
        <w:tc>
          <w:tcPr>
            <w:tcW w:w="8505" w:type="dxa"/>
            <w:shd w:val="clear" w:color="auto" w:fill="FFFFFF" w:themeFill="background1"/>
          </w:tcPr>
          <w:p w:rsidR="007E5136" w:rsidRPr="00F21A4E" w:rsidRDefault="007E5136"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den fornødne lovhjemmel til obligatorisk digital kommunikation mellem borgere og virksomheder og det offentlige?</w:t>
            </w:r>
          </w:p>
          <w:p w:rsidR="007E5136" w:rsidRPr="00F21A4E" w:rsidRDefault="007E5136"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lovhjemlen formuleret således, at den omfatter en fremtidig teknologisk udvikling, dvs. at den er teknologineutral?</w:t>
            </w:r>
          </w:p>
          <w:p w:rsidR="007E5136" w:rsidRPr="00F21A4E" w:rsidRDefault="007E5136"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Hvad skal kommunikeres digitalt? (Eksempelvis ansøgninger, afgørelser mv.)</w:t>
            </w:r>
          </w:p>
          <w:p w:rsidR="007E5136" w:rsidRPr="00F21A4E" w:rsidRDefault="007E5136"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Kommunikation til offentlige myndigheder: Følger eventuelle krav om obligatorisk brug af digital selvbetjening konceptet fra modellen i de fire bølgelove</w:t>
            </w:r>
            <w:r w:rsidR="000805B3">
              <w:rPr>
                <w:rFonts w:ascii="Arial" w:hAnsi="Arial" w:cs="Arial"/>
                <w:sz w:val="15"/>
                <w:szCs w:val="15"/>
              </w:rPr>
              <w:t xml:space="preserve"> </w:t>
            </w:r>
            <w:r w:rsidRPr="00F21A4E">
              <w:rPr>
                <w:rFonts w:ascii="Arial" w:hAnsi="Arial" w:cs="Arial"/>
                <w:sz w:val="15"/>
                <w:szCs w:val="15"/>
              </w:rPr>
              <w:t>om obligatorisk digital selvbetjening</w:t>
            </w:r>
            <w:proofErr w:type="gramStart"/>
            <w:r w:rsidRPr="00F21A4E">
              <w:rPr>
                <w:rFonts w:ascii="Arial" w:hAnsi="Arial" w:cs="Arial"/>
                <w:sz w:val="15"/>
                <w:szCs w:val="15"/>
              </w:rPr>
              <w:t xml:space="preserve"> (jf. lov nr. 558 af 18. juni 2012, </w:t>
            </w:r>
            <w:proofErr w:type="spellStart"/>
            <w:r w:rsidRPr="00F21A4E">
              <w:rPr>
                <w:rFonts w:ascii="Arial" w:hAnsi="Arial" w:cs="Arial"/>
                <w:sz w:val="15"/>
                <w:szCs w:val="15"/>
              </w:rPr>
              <w:t>lovnr</w:t>
            </w:r>
            <w:proofErr w:type="spellEnd"/>
            <w:r w:rsidRPr="00F21A4E">
              <w:rPr>
                <w:rFonts w:ascii="Arial" w:hAnsi="Arial" w:cs="Arial"/>
                <w:sz w:val="15"/>
                <w:szCs w:val="15"/>
              </w:rPr>
              <w:t>.</w:t>
            </w:r>
            <w:proofErr w:type="gramEnd"/>
            <w:r w:rsidRPr="00F21A4E">
              <w:rPr>
                <w:rFonts w:ascii="Arial" w:hAnsi="Arial" w:cs="Arial"/>
                <w:sz w:val="15"/>
                <w:szCs w:val="15"/>
              </w:rPr>
              <w:t xml:space="preserve"> 662 af 12. juni 2013, lov nr. 552 af 2. juni 2014 og lov nr. 742 af 1. juni 2015)? Foreligger der særlige forhold (fx borgere med særlige handicap), som medfører undtagelse fra digital kommunikation? Angiv </w:t>
            </w:r>
            <w:r>
              <w:rPr>
                <w:rFonts w:ascii="Arial" w:hAnsi="Arial" w:cs="Arial"/>
                <w:sz w:val="15"/>
                <w:szCs w:val="15"/>
              </w:rPr>
              <w:t>alternativ kommunikationsform.</w:t>
            </w:r>
          </w:p>
          <w:p w:rsidR="007E5136" w:rsidRPr="00F21A4E" w:rsidRDefault="007E5136"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Webtilgængelighed: Følges reglerne om webtilgængelighed som anført i implementeringen af Europaparlamentets og Rådets direktiv med henblik på at sikre, at personer med synshandicap eller andre funktionsnedsættelser har adgang til digitale løsninger?</w:t>
            </w:r>
          </w:p>
        </w:tc>
        <w:tc>
          <w:tcPr>
            <w:tcW w:w="5812" w:type="dxa"/>
            <w:shd w:val="clear" w:color="auto" w:fill="FFFFFF" w:themeFill="background1"/>
          </w:tcPr>
          <w:p w:rsidR="007E5136" w:rsidRPr="007E5136" w:rsidRDefault="007E5136" w:rsidP="000B1681">
            <w:pPr>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4F1BF5" w:rsidRPr="00FD7120" w:rsidTr="004F1BF5">
        <w:trPr>
          <w:trHeight w:val="1707"/>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 xml:space="preserve">Princip 3: </w:t>
            </w:r>
            <w:r w:rsidRPr="004F1BF5">
              <w:rPr>
                <w:rFonts w:ascii="Arial" w:hAnsi="Arial" w:cs="Arial"/>
                <w:b/>
                <w:color w:val="F9F8E0"/>
                <w:sz w:val="16"/>
                <w:szCs w:val="16"/>
              </w:rPr>
              <w:br/>
              <w:t>Muliggør automatisk sagsbehandling</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mulighederne for at anvende objektive kriterier afsøgt?</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Kan der fx på baggrund af hidtidig praksis opstilles hovedkriterier for en delmængde af de hidtidige skønsbaserede vurderinger?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mulighederne for, at (dele af) lovgivningen udformes sådan, at skøn og skønsmæssige vurderinger minimeres, afsøgt?</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mulighederne for at indrette reglerne med henblik på automatiserede sagsgange afsøgt, herunder forholdet til de relevante forvaltnings- og databeskyttelsesretlige krav?</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behov for at indsætte skønsbaserede kriterier for en restgruppe eller fastsætte regler om udøvelse af et skøn for at give mulighed for at inddrage konkrete forhold og den konkrete situation?</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det sikret, at det fagprofessionelle skøn er opretholdt i tilfælde, hvor hensynet til borgernes retssikkerhed taler herfor?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reglerne teknologineutrale? Bemærk, at ord som ”brev” kan være bundet op på en bestemt sagsgang eller teknologi, som måske ikke er fremtidssikret. I stedet kan anvendes formuleringer som ”give meddelelse om”, ”orientere”, ”varsle” eller tilsvarende.</w:t>
            </w:r>
          </w:p>
        </w:tc>
        <w:tc>
          <w:tcPr>
            <w:tcW w:w="5812" w:type="dxa"/>
            <w:shd w:val="clear" w:color="auto" w:fill="FFFFFF" w:themeFill="background1"/>
          </w:tcPr>
          <w:p w:rsidR="002C1BA5" w:rsidRPr="002C1BA5" w:rsidRDefault="007E5136" w:rsidP="002C1BA5">
            <w:pPr>
              <w:ind w:left="34"/>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4F1BF5" w:rsidRPr="00FD7120" w:rsidTr="004F1BF5">
        <w:trPr>
          <w:trHeight w:val="1136"/>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lastRenderedPageBreak/>
              <w:t>Princip 4: Sammenhæng på tværs - ensartede begreber og genbrug af data</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Kan data, som det offentlige allerede indsamler – eksempelvis adresse-, person-, virksomheds-, geo- eller boligdata – genanvendes (under hensyntagen til bl.a. databeskyttelseslovgivningen), eller skal der indsamles nye data fra borgere eller virksomheder?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Er det sikret, at der bruges de samme definitioner af data, periodiseringer mv., som eksisterer i offentlige registre, fx de indkomst- og periodiseringsdefinitioner, som anvendes i </w:t>
            </w:r>
            <w:proofErr w:type="spellStart"/>
            <w:r w:rsidRPr="00F21A4E">
              <w:rPr>
                <w:rFonts w:ascii="Arial" w:hAnsi="Arial" w:cs="Arial"/>
                <w:sz w:val="15"/>
                <w:szCs w:val="15"/>
              </w:rPr>
              <w:t>eIndkomst</w:t>
            </w:r>
            <w:proofErr w:type="spellEnd"/>
            <w:r w:rsidRPr="00F21A4E">
              <w:rPr>
                <w:rFonts w:ascii="Arial" w:hAnsi="Arial" w:cs="Arial"/>
                <w:sz w:val="15"/>
                <w:szCs w:val="15"/>
              </w:rPr>
              <w:t>?</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Anvendes eksisterende geodata - eksempelvis data fra Danmarks Miljøportal, Plansystem.dk og geodanmark.dk?</w:t>
            </w:r>
          </w:p>
        </w:tc>
        <w:tc>
          <w:tcPr>
            <w:tcW w:w="5812" w:type="dxa"/>
            <w:shd w:val="clear" w:color="auto" w:fill="FFFFFF" w:themeFill="background1"/>
          </w:tcPr>
          <w:p w:rsidR="002C1BA5" w:rsidRPr="002C1BA5" w:rsidRDefault="007E5136" w:rsidP="002C1BA5">
            <w:pPr>
              <w:ind w:left="34"/>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4F1BF5" w:rsidRPr="00FD7120" w:rsidTr="004F1BF5">
        <w:trPr>
          <w:trHeight w:val="691"/>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 xml:space="preserve">Princip 5: </w:t>
            </w:r>
            <w:r w:rsidRPr="004F1BF5">
              <w:rPr>
                <w:rFonts w:ascii="Arial" w:hAnsi="Arial" w:cs="Arial"/>
                <w:b/>
                <w:color w:val="F9F8E0"/>
                <w:sz w:val="16"/>
                <w:szCs w:val="16"/>
              </w:rPr>
              <w:br/>
              <w:t>Tryg og sikker datahåndtering</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Lægger lovforslaget op til indsamling eller genbrug af data, herunder fra andre myndigheder?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den fornødne hjemmel til evt. indsamling eller genbrug af data?</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indtænkt en sikker og tryg datahåndtering, herunder beskyttelse af personoplysninger?</w:t>
            </w:r>
          </w:p>
        </w:tc>
        <w:tc>
          <w:tcPr>
            <w:tcW w:w="5812" w:type="dxa"/>
            <w:shd w:val="clear" w:color="auto" w:fill="FFFFFF" w:themeFill="background1"/>
          </w:tcPr>
          <w:p w:rsidR="002C1BA5" w:rsidRPr="002C1BA5" w:rsidRDefault="007E5136" w:rsidP="002C1BA5">
            <w:pPr>
              <w:ind w:left="34"/>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4F1BF5" w:rsidRPr="00FD7120" w:rsidTr="004F1BF5">
        <w:trPr>
          <w:trHeight w:val="278"/>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 xml:space="preserve">Princip 6: </w:t>
            </w:r>
            <w:r w:rsidRPr="004F1BF5">
              <w:rPr>
                <w:rFonts w:ascii="Arial" w:hAnsi="Arial" w:cs="Arial"/>
                <w:b/>
                <w:color w:val="F9F8E0"/>
                <w:sz w:val="16"/>
                <w:szCs w:val="16"/>
              </w:rPr>
              <w:br/>
              <w:t>Anvendelse af offentlig infrastruktur</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Anvendes eksisterende fællesoffentlig infrastruktur, herunder fx </w:t>
            </w:r>
            <w:proofErr w:type="spellStart"/>
            <w:r w:rsidRPr="00F21A4E">
              <w:rPr>
                <w:rFonts w:ascii="Arial" w:hAnsi="Arial" w:cs="Arial"/>
                <w:sz w:val="15"/>
                <w:szCs w:val="15"/>
              </w:rPr>
              <w:t>NemID</w:t>
            </w:r>
            <w:proofErr w:type="spellEnd"/>
            <w:r w:rsidRPr="00F21A4E">
              <w:rPr>
                <w:rFonts w:ascii="Arial" w:hAnsi="Arial" w:cs="Arial"/>
                <w:sz w:val="15"/>
                <w:szCs w:val="15"/>
              </w:rPr>
              <w:t xml:space="preserve">/mobil, </w:t>
            </w:r>
            <w:proofErr w:type="spellStart"/>
            <w:r w:rsidRPr="00F21A4E">
              <w:rPr>
                <w:rFonts w:ascii="Arial" w:hAnsi="Arial" w:cs="Arial"/>
                <w:sz w:val="15"/>
                <w:szCs w:val="15"/>
              </w:rPr>
              <w:t>NemID</w:t>
            </w:r>
            <w:proofErr w:type="spellEnd"/>
            <w:r w:rsidRPr="00F21A4E">
              <w:rPr>
                <w:rFonts w:ascii="Arial" w:hAnsi="Arial" w:cs="Arial"/>
                <w:sz w:val="15"/>
                <w:szCs w:val="15"/>
              </w:rPr>
              <w:t xml:space="preserve">, Digital Post-løsningen, Nem Log-in, Digital Fuldmagt, </w:t>
            </w:r>
            <w:proofErr w:type="spellStart"/>
            <w:r w:rsidRPr="00F21A4E">
              <w:rPr>
                <w:rFonts w:ascii="Arial" w:hAnsi="Arial" w:cs="Arial"/>
                <w:sz w:val="15"/>
                <w:szCs w:val="15"/>
              </w:rPr>
              <w:t>NemKonto</w:t>
            </w:r>
            <w:proofErr w:type="spellEnd"/>
            <w:r w:rsidRPr="00F21A4E">
              <w:rPr>
                <w:rFonts w:ascii="Arial" w:hAnsi="Arial" w:cs="Arial"/>
                <w:sz w:val="15"/>
                <w:szCs w:val="15"/>
              </w:rPr>
              <w:t xml:space="preserve">, </w:t>
            </w:r>
            <w:proofErr w:type="spellStart"/>
            <w:r w:rsidRPr="00F21A4E">
              <w:rPr>
                <w:rFonts w:ascii="Arial" w:hAnsi="Arial" w:cs="Arial"/>
                <w:sz w:val="15"/>
                <w:szCs w:val="15"/>
              </w:rPr>
              <w:t>eFaktura</w:t>
            </w:r>
            <w:proofErr w:type="spellEnd"/>
            <w:r w:rsidRPr="00F21A4E">
              <w:rPr>
                <w:rFonts w:ascii="Arial" w:hAnsi="Arial" w:cs="Arial"/>
                <w:sz w:val="15"/>
                <w:szCs w:val="15"/>
              </w:rPr>
              <w:t xml:space="preserve">, </w:t>
            </w:r>
            <w:proofErr w:type="spellStart"/>
            <w:r w:rsidRPr="00F21A4E">
              <w:rPr>
                <w:rFonts w:ascii="Arial" w:hAnsi="Arial" w:cs="Arial"/>
                <w:sz w:val="15"/>
                <w:szCs w:val="15"/>
              </w:rPr>
              <w:t>NemHandel</w:t>
            </w:r>
            <w:proofErr w:type="spellEnd"/>
            <w:r w:rsidRPr="00F21A4E">
              <w:rPr>
                <w:rFonts w:ascii="Arial" w:hAnsi="Arial" w:cs="Arial"/>
                <w:sz w:val="15"/>
                <w:szCs w:val="15"/>
              </w:rPr>
              <w:t xml:space="preserve">  frem for særskilte, egenudviklede løsninger?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Anvendes eksisterende fællesoffentlige processer, herunder processer for partshøring, deling/adgang til store dokumenter, kvittering, advisering, rapportering, tilsyn mv.? Der kan hentes inspiration i den fællesoffentlige Forretningsreferencemodel</w:t>
            </w:r>
          </w:p>
          <w:p w:rsidR="002C1BA5" w:rsidRPr="00F21A4E" w:rsidRDefault="002C1BA5" w:rsidP="000B1681">
            <w:pPr>
              <w:pStyle w:val="Listeafsnit"/>
              <w:ind w:left="317"/>
              <w:rPr>
                <w:rFonts w:ascii="Arial" w:hAnsi="Arial" w:cs="Arial"/>
                <w:sz w:val="15"/>
                <w:szCs w:val="15"/>
              </w:rPr>
            </w:pPr>
            <w:r w:rsidRPr="00F21A4E">
              <w:rPr>
                <w:rFonts w:ascii="Arial" w:hAnsi="Arial" w:cs="Arial"/>
                <w:sz w:val="15"/>
                <w:szCs w:val="15"/>
              </w:rPr>
              <w:t>(FORM), som indeholder et opgavekatalog, der hjælper til at finde inspiration og referenceeksempler til udformning af processer.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Er der i forbindelse med opgavevaretagelsen behov for at logge på forskellige offentlige it-systemer? Hvis ja, bør disse it-systemer understøttes evt. af </w:t>
            </w:r>
            <w:proofErr w:type="spellStart"/>
            <w:r w:rsidRPr="00F21A4E">
              <w:rPr>
                <w:rFonts w:ascii="Arial" w:hAnsi="Arial" w:cs="Arial"/>
                <w:sz w:val="15"/>
                <w:szCs w:val="15"/>
              </w:rPr>
              <w:t>NemID</w:t>
            </w:r>
            <w:proofErr w:type="spellEnd"/>
            <w:r w:rsidRPr="00F21A4E">
              <w:rPr>
                <w:rFonts w:ascii="Arial" w:hAnsi="Arial" w:cs="Arial"/>
                <w:sz w:val="15"/>
                <w:szCs w:val="15"/>
              </w:rPr>
              <w:t xml:space="preserve"> og </w:t>
            </w:r>
            <w:proofErr w:type="spellStart"/>
            <w:r w:rsidRPr="00F21A4E">
              <w:rPr>
                <w:rFonts w:ascii="Arial" w:hAnsi="Arial" w:cs="Arial"/>
                <w:sz w:val="15"/>
                <w:szCs w:val="15"/>
              </w:rPr>
              <w:t>NemLog</w:t>
            </w:r>
            <w:proofErr w:type="spellEnd"/>
            <w:r w:rsidRPr="00F21A4E">
              <w:rPr>
                <w:rFonts w:ascii="Arial" w:hAnsi="Arial" w:cs="Arial"/>
                <w:sz w:val="15"/>
                <w:szCs w:val="15"/>
              </w:rPr>
              <w:t>-in.</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Udbetales der penge til borgere, virksomheder eller myndigheder(ikke refusion)? Hvis ja, kan </w:t>
            </w:r>
            <w:proofErr w:type="spellStart"/>
            <w:r w:rsidRPr="00F21A4E">
              <w:rPr>
                <w:rFonts w:ascii="Arial" w:hAnsi="Arial" w:cs="Arial"/>
                <w:sz w:val="15"/>
                <w:szCs w:val="15"/>
              </w:rPr>
              <w:t>NemKonto</w:t>
            </w:r>
            <w:proofErr w:type="spellEnd"/>
            <w:r w:rsidRPr="00F21A4E">
              <w:rPr>
                <w:rFonts w:ascii="Arial" w:hAnsi="Arial" w:cs="Arial"/>
                <w:sz w:val="15"/>
                <w:szCs w:val="15"/>
              </w:rPr>
              <w:t xml:space="preserve"> med fordel anvendes.</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Kommunikeres der til borgere, virksomheder eller myndigheder? Hvis ja, bør Digital Post anvendes som sikker forsendelseskanal.</w:t>
            </w:r>
          </w:p>
        </w:tc>
        <w:tc>
          <w:tcPr>
            <w:tcW w:w="5812" w:type="dxa"/>
            <w:shd w:val="clear" w:color="auto" w:fill="FFFFFF" w:themeFill="background1"/>
          </w:tcPr>
          <w:p w:rsidR="002C1BA5" w:rsidRPr="002C1BA5" w:rsidRDefault="007E5136" w:rsidP="002C1BA5">
            <w:pPr>
              <w:ind w:left="34"/>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7E5136" w:rsidRPr="00FD7120" w:rsidTr="007E5136">
        <w:trPr>
          <w:trHeight w:val="949"/>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 xml:space="preserve">Princip 7: </w:t>
            </w:r>
            <w:r w:rsidRPr="004F1BF5">
              <w:rPr>
                <w:rFonts w:ascii="Arial" w:hAnsi="Arial" w:cs="Arial"/>
                <w:b/>
                <w:color w:val="F9F8E0"/>
                <w:sz w:val="16"/>
                <w:szCs w:val="16"/>
              </w:rPr>
              <w:br/>
              <w:t>Forebygger snyd og fejl</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hjemmel til at indhente og behandle relevante oplysninger fra offentlige registre mv.?</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Anvendes digitale muligheder for at kontrollere eller validere sagsoplysninger i relevante offentlige registre forud for udbetaling af offentlige ydelser?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lovgivningen udformet, så eventuelle proceskrav ikke stiller sig i vejen for effektiv it-anvendelse i forbindelse med kontrol?</w:t>
            </w:r>
          </w:p>
        </w:tc>
        <w:tc>
          <w:tcPr>
            <w:tcW w:w="5812" w:type="dxa"/>
            <w:shd w:val="clear" w:color="auto" w:fill="FFFFFF" w:themeFill="background1"/>
          </w:tcPr>
          <w:p w:rsidR="002C1BA5" w:rsidRPr="002C1BA5" w:rsidRDefault="007E5136" w:rsidP="002C1BA5">
            <w:pPr>
              <w:ind w:left="34"/>
              <w:rPr>
                <w:rFonts w:ascii="Arial" w:hAnsi="Arial" w:cs="Arial"/>
                <w:sz w:val="15"/>
                <w:szCs w:val="15"/>
              </w:rPr>
            </w:pPr>
            <w:r w:rsidRPr="007E5136">
              <w:rPr>
                <w:rFonts w:ascii="Arial" w:hAnsi="Arial" w:cs="Arial"/>
                <w:sz w:val="15"/>
                <w:szCs w:val="15"/>
              </w:rPr>
              <w:t>[Her kan det uddybes, hvordan princippet følges eller fraviges. Se tjekspørgsmål for hjælp til besvarelse]</w:t>
            </w:r>
          </w:p>
        </w:tc>
      </w:tr>
      <w:tr w:rsidR="004F1BF5" w:rsidRPr="00FD7120" w:rsidTr="008E5527">
        <w:tc>
          <w:tcPr>
            <w:tcW w:w="15877" w:type="dxa"/>
            <w:gridSpan w:val="3"/>
            <w:shd w:val="clear" w:color="auto" w:fill="940027"/>
          </w:tcPr>
          <w:p w:rsidR="004F1BF5" w:rsidRPr="004F1BF5" w:rsidRDefault="004F1BF5" w:rsidP="000B1681">
            <w:pPr>
              <w:jc w:val="center"/>
              <w:rPr>
                <w:rFonts w:ascii="Arial" w:hAnsi="Arial" w:cs="Arial"/>
                <w:b/>
                <w:i/>
                <w:color w:val="F9F8E0"/>
                <w:sz w:val="20"/>
                <w:szCs w:val="16"/>
              </w:rPr>
            </w:pPr>
            <w:r w:rsidRPr="004F1BF5">
              <w:rPr>
                <w:rFonts w:ascii="Arial" w:hAnsi="Arial" w:cs="Arial"/>
                <w:b/>
                <w:i/>
                <w:color w:val="F9F8E0"/>
                <w:sz w:val="20"/>
                <w:szCs w:val="16"/>
              </w:rPr>
              <w:t>Øvrige implementeringskonsekvenser</w:t>
            </w:r>
          </w:p>
        </w:tc>
      </w:tr>
      <w:tr w:rsidR="002C1BA5" w:rsidRPr="00FD7120" w:rsidTr="007E5136">
        <w:trPr>
          <w:trHeight w:val="1625"/>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Organisatoriske forhold</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Medfører lovforslaget oprettelse af nye administrative myndigheder eller væsentlige ændringer af allerede eksisterende myndigheder.? Hvis ja, anføres et skøn over de forventede mer- eller mindre</w:t>
            </w:r>
            <w:r w:rsidR="000805B3">
              <w:rPr>
                <w:rFonts w:ascii="Arial" w:hAnsi="Arial" w:cs="Arial"/>
                <w:sz w:val="15"/>
                <w:szCs w:val="15"/>
              </w:rPr>
              <w:t xml:space="preserve"> </w:t>
            </w:r>
            <w:r w:rsidRPr="00F21A4E">
              <w:rPr>
                <w:rFonts w:ascii="Arial" w:hAnsi="Arial" w:cs="Arial"/>
                <w:sz w:val="15"/>
                <w:szCs w:val="15"/>
              </w:rPr>
              <w:t>udgifter til administration, herunder til personale, IT-systemer og lokaler mv. De økonomiske og administrative ulemper herved bør så vidt muligt begrænses.</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Medfører lovforslaget en detaljeret regulering af arbejds- og beslutningsprocesser i kommuner? Hvis ja, bør det overvejes om reguleringen er nødvendig, og hvordan denne i givet fald passer sammen eksisterende regler og administrativ struktur.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Er der tilstræbt at anvende eksisterende administrative enheder og strukturer?</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Indebærer lovforslaget kompetenceudvikling? Hvis ja, kan eventuelle konsekvenser i forhold til behovet for opkvalificering/efteruddannelse af medarbejderne, herunder i forhold til it-tilpasninger og it-understøttelse, også beskrives. </w:t>
            </w:r>
          </w:p>
        </w:tc>
        <w:tc>
          <w:tcPr>
            <w:tcW w:w="5812" w:type="dxa"/>
            <w:shd w:val="clear" w:color="auto" w:fill="FFFFFF" w:themeFill="background1"/>
          </w:tcPr>
          <w:p w:rsidR="002C1BA5" w:rsidRPr="002C1BA5" w:rsidRDefault="007E5136" w:rsidP="007E5136">
            <w:pPr>
              <w:ind w:left="34"/>
              <w:rPr>
                <w:rFonts w:ascii="Arial" w:hAnsi="Arial" w:cs="Arial"/>
                <w:sz w:val="15"/>
                <w:szCs w:val="15"/>
              </w:rPr>
            </w:pPr>
            <w:r>
              <w:rPr>
                <w:rFonts w:ascii="Arial" w:hAnsi="Arial" w:cs="Arial"/>
                <w:sz w:val="15"/>
                <w:szCs w:val="15"/>
              </w:rPr>
              <w:t>[</w:t>
            </w:r>
            <w:r w:rsidRPr="00FD7120">
              <w:rPr>
                <w:rFonts w:ascii="Arial" w:hAnsi="Arial" w:cs="Arial"/>
                <w:sz w:val="16"/>
                <w:szCs w:val="16"/>
              </w:rPr>
              <w:t xml:space="preserve">Her kan </w:t>
            </w:r>
            <w:r>
              <w:rPr>
                <w:rFonts w:ascii="Arial" w:hAnsi="Arial" w:cs="Arial"/>
                <w:sz w:val="16"/>
                <w:szCs w:val="16"/>
              </w:rPr>
              <w:t>vurderingen af de organisatoriske forhold</w:t>
            </w:r>
            <w:r w:rsidRPr="00FD7120">
              <w:rPr>
                <w:rFonts w:ascii="Arial" w:hAnsi="Arial" w:cs="Arial"/>
                <w:sz w:val="16"/>
                <w:szCs w:val="16"/>
              </w:rPr>
              <w:t xml:space="preserve"> </w:t>
            </w:r>
            <w:r>
              <w:rPr>
                <w:rFonts w:ascii="Arial" w:hAnsi="Arial" w:cs="Arial"/>
                <w:sz w:val="16"/>
                <w:szCs w:val="16"/>
              </w:rPr>
              <w:t>uddybes. Se tjekspørgsmål for hjælp til besvarelse</w:t>
            </w:r>
            <w:r w:rsidRPr="00FD7120">
              <w:rPr>
                <w:rFonts w:ascii="Arial" w:hAnsi="Arial" w:cs="Arial"/>
              </w:rPr>
              <w:t>]</w:t>
            </w:r>
          </w:p>
        </w:tc>
      </w:tr>
      <w:tr w:rsidR="002C1BA5" w:rsidRPr="00FD7120" w:rsidTr="007E5136">
        <w:trPr>
          <w:trHeight w:val="981"/>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It-understøttelse, it-styring og risiko</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Indebærer lovforslaget tilpasning i forhold til eksisterende it-systemer eller udvikling af nye it-systemer? </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Medfører lovforslaget it-løsninger på over 10 mio. kr.? Hvis ja, bør sagen forelægges Statens IT-råd. </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 xml:space="preserve">Medfører lovforslaget it-løsninger på over 60 mio. kr.? Hvis ja, bør sagen forelægges Finansudvalget. </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Har lovforslaget afledte effekter for øvrige myndigheders it-systemer, som måtte være afhængige af data eller funktionalitet fra disse systemer?</w:t>
            </w:r>
          </w:p>
        </w:tc>
        <w:tc>
          <w:tcPr>
            <w:tcW w:w="5812" w:type="dxa"/>
            <w:shd w:val="clear" w:color="auto" w:fill="FFFFFF" w:themeFill="background1"/>
          </w:tcPr>
          <w:p w:rsidR="002C1BA5" w:rsidRPr="00F75D07" w:rsidRDefault="007E5136" w:rsidP="00F75D07">
            <w:pPr>
              <w:ind w:left="34"/>
              <w:rPr>
                <w:rFonts w:ascii="Arial" w:hAnsi="Arial" w:cs="Arial"/>
                <w:sz w:val="15"/>
                <w:szCs w:val="15"/>
              </w:rPr>
            </w:pPr>
            <w:r>
              <w:rPr>
                <w:rFonts w:ascii="Arial" w:hAnsi="Arial" w:cs="Arial"/>
                <w:sz w:val="15"/>
                <w:szCs w:val="15"/>
              </w:rPr>
              <w:t>[</w:t>
            </w:r>
            <w:r w:rsidRPr="00FD7120">
              <w:rPr>
                <w:rFonts w:ascii="Arial" w:hAnsi="Arial" w:cs="Arial"/>
                <w:sz w:val="16"/>
                <w:szCs w:val="16"/>
              </w:rPr>
              <w:t xml:space="preserve">Her kan </w:t>
            </w:r>
            <w:r>
              <w:rPr>
                <w:rFonts w:ascii="Arial" w:hAnsi="Arial" w:cs="Arial"/>
                <w:sz w:val="16"/>
                <w:szCs w:val="16"/>
              </w:rPr>
              <w:t>vurderingen af i</w:t>
            </w:r>
            <w:r w:rsidRPr="007E5136">
              <w:rPr>
                <w:rFonts w:ascii="Arial" w:hAnsi="Arial" w:cs="Arial"/>
                <w:sz w:val="16"/>
                <w:szCs w:val="16"/>
              </w:rPr>
              <w:t>t-understøttelse, it-styring og risiko</w:t>
            </w:r>
            <w:r w:rsidRPr="00FD7120">
              <w:rPr>
                <w:rFonts w:ascii="Arial" w:hAnsi="Arial" w:cs="Arial"/>
                <w:sz w:val="16"/>
                <w:szCs w:val="16"/>
              </w:rPr>
              <w:t xml:space="preserve"> </w:t>
            </w:r>
            <w:r>
              <w:rPr>
                <w:rFonts w:ascii="Arial" w:hAnsi="Arial" w:cs="Arial"/>
                <w:sz w:val="16"/>
                <w:szCs w:val="16"/>
              </w:rPr>
              <w:t>uddybes. Se tjekspørgsmål for hjælp til besvarelse</w:t>
            </w:r>
            <w:r w:rsidRPr="00FD7120">
              <w:rPr>
                <w:rFonts w:ascii="Arial" w:hAnsi="Arial" w:cs="Arial"/>
              </w:rPr>
              <w:t>]</w:t>
            </w:r>
          </w:p>
        </w:tc>
      </w:tr>
      <w:tr w:rsidR="007E5136" w:rsidRPr="00FD7120" w:rsidTr="007E5136">
        <w:trPr>
          <w:trHeight w:val="738"/>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Databeskyttelse</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Indebærer lovforslaget behandling af personoplysninger? Hvis ja, skal det håndteres i overensstemmelse med den gældende lovgivning, herunder databeskyttelseslovgivningen.</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Kan behandlingen af personoplysninger karakteriseres som værende af ”høj risiko” for borgernes rettigheder og frihedsrettigheder? Hvis ja, skal der udarbejdes en konsekvensanalyse.</w:t>
            </w:r>
          </w:p>
        </w:tc>
        <w:tc>
          <w:tcPr>
            <w:tcW w:w="5812" w:type="dxa"/>
            <w:shd w:val="clear" w:color="auto" w:fill="FFFFFF" w:themeFill="background1"/>
          </w:tcPr>
          <w:p w:rsidR="002C1BA5" w:rsidRPr="00F75D07" w:rsidRDefault="007E5136" w:rsidP="00F75D07">
            <w:pPr>
              <w:ind w:left="34"/>
              <w:rPr>
                <w:rFonts w:ascii="Arial" w:hAnsi="Arial" w:cs="Arial"/>
                <w:sz w:val="15"/>
                <w:szCs w:val="15"/>
              </w:rPr>
            </w:pPr>
            <w:r>
              <w:rPr>
                <w:rFonts w:ascii="Arial" w:hAnsi="Arial" w:cs="Arial"/>
                <w:sz w:val="15"/>
                <w:szCs w:val="15"/>
              </w:rPr>
              <w:t>[</w:t>
            </w:r>
            <w:r w:rsidRPr="00FD7120">
              <w:rPr>
                <w:rFonts w:ascii="Arial" w:hAnsi="Arial" w:cs="Arial"/>
                <w:sz w:val="16"/>
                <w:szCs w:val="16"/>
              </w:rPr>
              <w:t xml:space="preserve">Her kan </w:t>
            </w:r>
            <w:r>
              <w:rPr>
                <w:rFonts w:ascii="Arial" w:hAnsi="Arial" w:cs="Arial"/>
                <w:sz w:val="16"/>
                <w:szCs w:val="16"/>
              </w:rPr>
              <w:t>vurderingen af d</w:t>
            </w:r>
            <w:r w:rsidRPr="007E5136">
              <w:rPr>
                <w:rFonts w:ascii="Arial" w:hAnsi="Arial" w:cs="Arial"/>
                <w:sz w:val="16"/>
                <w:szCs w:val="16"/>
              </w:rPr>
              <w:t xml:space="preserve">atabeskyttelse </w:t>
            </w:r>
            <w:r>
              <w:rPr>
                <w:rFonts w:ascii="Arial" w:hAnsi="Arial" w:cs="Arial"/>
                <w:sz w:val="16"/>
                <w:szCs w:val="16"/>
              </w:rPr>
              <w:t>uddybes. Se tjekspørgsmål for hjælp til besvarelse</w:t>
            </w:r>
            <w:r w:rsidRPr="00FD7120">
              <w:rPr>
                <w:rFonts w:ascii="Arial" w:hAnsi="Arial" w:cs="Arial"/>
              </w:rPr>
              <w:t>]</w:t>
            </w:r>
          </w:p>
        </w:tc>
      </w:tr>
      <w:tr w:rsidR="002C1BA5" w:rsidRPr="00FD7120" w:rsidTr="007E5136">
        <w:trPr>
          <w:trHeight w:val="571"/>
        </w:trPr>
        <w:tc>
          <w:tcPr>
            <w:tcW w:w="1560" w:type="dxa"/>
            <w:shd w:val="clear" w:color="auto" w:fill="940027"/>
          </w:tcPr>
          <w:p w:rsidR="002C1BA5" w:rsidRPr="004F1BF5" w:rsidRDefault="002C1BA5" w:rsidP="000B1681">
            <w:pPr>
              <w:rPr>
                <w:rFonts w:ascii="Arial" w:hAnsi="Arial" w:cs="Arial"/>
                <w:b/>
                <w:color w:val="F9F8E0"/>
                <w:sz w:val="16"/>
                <w:szCs w:val="16"/>
              </w:rPr>
            </w:pPr>
            <w:r w:rsidRPr="004F1BF5">
              <w:rPr>
                <w:rFonts w:ascii="Arial" w:hAnsi="Arial" w:cs="Arial"/>
                <w:b/>
                <w:color w:val="F9F8E0"/>
                <w:sz w:val="16"/>
                <w:szCs w:val="16"/>
              </w:rPr>
              <w:t>Betydning for borgeren</w:t>
            </w:r>
          </w:p>
        </w:tc>
        <w:tc>
          <w:tcPr>
            <w:tcW w:w="8505" w:type="dxa"/>
            <w:shd w:val="clear" w:color="auto" w:fill="FFFFFF" w:themeFill="background1"/>
          </w:tcPr>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Berører lovforslaget borgerne direkte? Det kan fx inden for uddannelse, arbejdsmarked, sundhed, skat eller det sociale område.</w:t>
            </w:r>
          </w:p>
          <w:p w:rsidR="002C1BA5" w:rsidRPr="00F21A4E" w:rsidRDefault="002C1BA5" w:rsidP="000B1681">
            <w:pPr>
              <w:pStyle w:val="Listeafsnit"/>
              <w:numPr>
                <w:ilvl w:val="0"/>
                <w:numId w:val="21"/>
              </w:numPr>
              <w:ind w:left="317" w:hanging="283"/>
              <w:rPr>
                <w:rFonts w:ascii="Arial" w:hAnsi="Arial" w:cs="Arial"/>
                <w:sz w:val="15"/>
                <w:szCs w:val="15"/>
              </w:rPr>
            </w:pPr>
            <w:r w:rsidRPr="00F21A4E">
              <w:rPr>
                <w:rFonts w:ascii="Arial" w:hAnsi="Arial" w:cs="Arial"/>
                <w:sz w:val="15"/>
                <w:szCs w:val="15"/>
              </w:rPr>
              <w:t>Medfører lovforslaget nye ændringer vedrørende partshøring, klageadgang eller lignende?</w:t>
            </w:r>
          </w:p>
        </w:tc>
        <w:tc>
          <w:tcPr>
            <w:tcW w:w="5812" w:type="dxa"/>
            <w:shd w:val="clear" w:color="auto" w:fill="FFFFFF" w:themeFill="background1"/>
          </w:tcPr>
          <w:p w:rsidR="002C1BA5" w:rsidRPr="00F75D07" w:rsidRDefault="007E5136" w:rsidP="007E5136">
            <w:pPr>
              <w:ind w:left="34"/>
              <w:rPr>
                <w:rFonts w:ascii="Arial" w:hAnsi="Arial" w:cs="Arial"/>
                <w:sz w:val="15"/>
                <w:szCs w:val="15"/>
              </w:rPr>
            </w:pPr>
            <w:r>
              <w:rPr>
                <w:rFonts w:ascii="Arial" w:hAnsi="Arial" w:cs="Arial"/>
                <w:sz w:val="15"/>
                <w:szCs w:val="15"/>
              </w:rPr>
              <w:t>[</w:t>
            </w:r>
            <w:r w:rsidRPr="00FD7120">
              <w:rPr>
                <w:rFonts w:ascii="Arial" w:hAnsi="Arial" w:cs="Arial"/>
                <w:sz w:val="16"/>
                <w:szCs w:val="16"/>
              </w:rPr>
              <w:t xml:space="preserve">Her kan </w:t>
            </w:r>
            <w:r>
              <w:rPr>
                <w:rFonts w:ascii="Arial" w:hAnsi="Arial" w:cs="Arial"/>
                <w:sz w:val="16"/>
                <w:szCs w:val="16"/>
              </w:rPr>
              <w:t>vurderingen af betydning for borgeren</w:t>
            </w:r>
            <w:r w:rsidRPr="00FD7120">
              <w:rPr>
                <w:rFonts w:ascii="Arial" w:hAnsi="Arial" w:cs="Arial"/>
                <w:sz w:val="16"/>
                <w:szCs w:val="16"/>
              </w:rPr>
              <w:t xml:space="preserve"> </w:t>
            </w:r>
            <w:r>
              <w:rPr>
                <w:rFonts w:ascii="Arial" w:hAnsi="Arial" w:cs="Arial"/>
                <w:sz w:val="16"/>
                <w:szCs w:val="16"/>
              </w:rPr>
              <w:t>uddybes. Se tjekspørgsmål for hjælp til besvarelse</w:t>
            </w:r>
            <w:r w:rsidRPr="00FD7120">
              <w:rPr>
                <w:rFonts w:ascii="Arial" w:hAnsi="Arial" w:cs="Arial"/>
              </w:rPr>
              <w:t>]</w:t>
            </w:r>
          </w:p>
        </w:tc>
      </w:tr>
    </w:tbl>
    <w:p w:rsidR="002C1BA5" w:rsidRPr="00FD7120" w:rsidRDefault="002C1BA5" w:rsidP="00396BA1">
      <w:pPr>
        <w:rPr>
          <w:rFonts w:ascii="Arial" w:hAnsi="Arial" w:cs="Arial"/>
        </w:rPr>
      </w:pPr>
    </w:p>
    <w:sectPr w:rsidR="002C1BA5" w:rsidRPr="00FD7120" w:rsidSect="002C1BA5">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6F" w:rsidRDefault="00B81D6F" w:rsidP="00085C55">
      <w:pPr>
        <w:spacing w:after="0" w:line="240" w:lineRule="auto"/>
      </w:pPr>
      <w:r>
        <w:separator/>
      </w:r>
    </w:p>
  </w:endnote>
  <w:endnote w:type="continuationSeparator" w:id="0">
    <w:p w:rsidR="00B81D6F" w:rsidRDefault="00B81D6F" w:rsidP="0008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6F" w:rsidRDefault="00B81D6F" w:rsidP="00085C55">
      <w:pPr>
        <w:spacing w:after="0" w:line="240" w:lineRule="auto"/>
      </w:pPr>
      <w:r>
        <w:separator/>
      </w:r>
    </w:p>
  </w:footnote>
  <w:footnote w:type="continuationSeparator" w:id="0">
    <w:p w:rsidR="00B81D6F" w:rsidRDefault="00B81D6F" w:rsidP="00085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001"/>
    <w:multiLevelType w:val="hybridMultilevel"/>
    <w:tmpl w:val="3CDC1134"/>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5DC5047"/>
    <w:multiLevelType w:val="hybridMultilevel"/>
    <w:tmpl w:val="04C67AFE"/>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697CFA"/>
    <w:multiLevelType w:val="hybridMultilevel"/>
    <w:tmpl w:val="A14A2F3E"/>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2E01C0D"/>
    <w:multiLevelType w:val="hybridMultilevel"/>
    <w:tmpl w:val="A72CB9A2"/>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27579A"/>
    <w:multiLevelType w:val="hybridMultilevel"/>
    <w:tmpl w:val="7E1A529E"/>
    <w:lvl w:ilvl="0" w:tplc="E264BD3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6456ED4"/>
    <w:multiLevelType w:val="hybridMultilevel"/>
    <w:tmpl w:val="F5D8EC12"/>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C847B35"/>
    <w:multiLevelType w:val="hybridMultilevel"/>
    <w:tmpl w:val="F38871F6"/>
    <w:lvl w:ilvl="0" w:tplc="74263F1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DFD1156"/>
    <w:multiLevelType w:val="hybridMultilevel"/>
    <w:tmpl w:val="A47A77B4"/>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4C51771"/>
    <w:multiLevelType w:val="hybridMultilevel"/>
    <w:tmpl w:val="9BFEC64A"/>
    <w:lvl w:ilvl="0" w:tplc="A4F27938">
      <w:start w:val="1"/>
      <w:numFmt w:val="bullet"/>
      <w:lvlText w:val=""/>
      <w:lvlJc w:val="left"/>
      <w:pPr>
        <w:ind w:left="720" w:hanging="360"/>
      </w:pPr>
      <w:rPr>
        <w:rFonts w:ascii="Symbol" w:hAnsi="Symbol"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08F5DAE"/>
    <w:multiLevelType w:val="hybridMultilevel"/>
    <w:tmpl w:val="E0F00338"/>
    <w:lvl w:ilvl="0" w:tplc="A898590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53955E0"/>
    <w:multiLevelType w:val="hybridMultilevel"/>
    <w:tmpl w:val="876251F4"/>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AAD1CFD"/>
    <w:multiLevelType w:val="hybridMultilevel"/>
    <w:tmpl w:val="9D66CB92"/>
    <w:lvl w:ilvl="0" w:tplc="6AE69A4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3301EB3"/>
    <w:multiLevelType w:val="hybridMultilevel"/>
    <w:tmpl w:val="3A183C26"/>
    <w:lvl w:ilvl="0" w:tplc="C458F3D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5752AFE"/>
    <w:multiLevelType w:val="hybridMultilevel"/>
    <w:tmpl w:val="2C7605AE"/>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A5A64F4"/>
    <w:multiLevelType w:val="hybridMultilevel"/>
    <w:tmpl w:val="58D096B6"/>
    <w:lvl w:ilvl="0" w:tplc="B3183F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03A5C3D"/>
    <w:multiLevelType w:val="hybridMultilevel"/>
    <w:tmpl w:val="82FA506C"/>
    <w:lvl w:ilvl="0" w:tplc="32544C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0707D24"/>
    <w:multiLevelType w:val="hybridMultilevel"/>
    <w:tmpl w:val="DB12F63C"/>
    <w:lvl w:ilvl="0" w:tplc="2758A57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29D63F8"/>
    <w:multiLevelType w:val="hybridMultilevel"/>
    <w:tmpl w:val="76EEFA7A"/>
    <w:lvl w:ilvl="0" w:tplc="CF1846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C7879C9"/>
    <w:multiLevelType w:val="hybridMultilevel"/>
    <w:tmpl w:val="C1CC5A0A"/>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0AF2E4C"/>
    <w:multiLevelType w:val="hybridMultilevel"/>
    <w:tmpl w:val="9A5E6DCA"/>
    <w:lvl w:ilvl="0" w:tplc="61A435C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85116B9"/>
    <w:multiLevelType w:val="hybridMultilevel"/>
    <w:tmpl w:val="E2F8CF84"/>
    <w:lvl w:ilvl="0" w:tplc="7632BE0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A572621"/>
    <w:multiLevelType w:val="hybridMultilevel"/>
    <w:tmpl w:val="FB628A4E"/>
    <w:lvl w:ilvl="0" w:tplc="8960C7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5"/>
  </w:num>
  <w:num w:numId="4">
    <w:abstractNumId w:val="15"/>
  </w:num>
  <w:num w:numId="5">
    <w:abstractNumId w:val="21"/>
  </w:num>
  <w:num w:numId="6">
    <w:abstractNumId w:val="20"/>
  </w:num>
  <w:num w:numId="7">
    <w:abstractNumId w:val="2"/>
  </w:num>
  <w:num w:numId="8">
    <w:abstractNumId w:val="12"/>
  </w:num>
  <w:num w:numId="9">
    <w:abstractNumId w:val="13"/>
  </w:num>
  <w:num w:numId="10">
    <w:abstractNumId w:val="9"/>
  </w:num>
  <w:num w:numId="11">
    <w:abstractNumId w:val="3"/>
  </w:num>
  <w:num w:numId="12">
    <w:abstractNumId w:val="16"/>
  </w:num>
  <w:num w:numId="13">
    <w:abstractNumId w:val="1"/>
  </w:num>
  <w:num w:numId="14">
    <w:abstractNumId w:val="11"/>
  </w:num>
  <w:num w:numId="15">
    <w:abstractNumId w:val="7"/>
  </w:num>
  <w:num w:numId="16">
    <w:abstractNumId w:val="14"/>
  </w:num>
  <w:num w:numId="17">
    <w:abstractNumId w:val="0"/>
  </w:num>
  <w:num w:numId="18">
    <w:abstractNumId w:val="4"/>
  </w:num>
  <w:num w:numId="19">
    <w:abstractNumId w:val="18"/>
  </w:num>
  <w:num w:numId="20">
    <w:abstractNumId w:val="17"/>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C8"/>
    <w:rsid w:val="00052540"/>
    <w:rsid w:val="00066480"/>
    <w:rsid w:val="000805B3"/>
    <w:rsid w:val="00085C55"/>
    <w:rsid w:val="000A506C"/>
    <w:rsid w:val="000C7451"/>
    <w:rsid w:val="001037B5"/>
    <w:rsid w:val="00114F14"/>
    <w:rsid w:val="00170D1D"/>
    <w:rsid w:val="001D28F2"/>
    <w:rsid w:val="001D5B15"/>
    <w:rsid w:val="002923E4"/>
    <w:rsid w:val="002C1BA5"/>
    <w:rsid w:val="00317EC5"/>
    <w:rsid w:val="0032333E"/>
    <w:rsid w:val="00356865"/>
    <w:rsid w:val="0037571D"/>
    <w:rsid w:val="00396BA1"/>
    <w:rsid w:val="00397777"/>
    <w:rsid w:val="003C086E"/>
    <w:rsid w:val="003C5A13"/>
    <w:rsid w:val="003D2C55"/>
    <w:rsid w:val="00413B4A"/>
    <w:rsid w:val="00446C95"/>
    <w:rsid w:val="004F1BF5"/>
    <w:rsid w:val="00512932"/>
    <w:rsid w:val="005466AE"/>
    <w:rsid w:val="005B1CE6"/>
    <w:rsid w:val="005C2709"/>
    <w:rsid w:val="00621B77"/>
    <w:rsid w:val="006938D3"/>
    <w:rsid w:val="006C032A"/>
    <w:rsid w:val="006F2252"/>
    <w:rsid w:val="006F3688"/>
    <w:rsid w:val="0070752F"/>
    <w:rsid w:val="00762D28"/>
    <w:rsid w:val="00794894"/>
    <w:rsid w:val="00797D33"/>
    <w:rsid w:val="007D47A7"/>
    <w:rsid w:val="007E4240"/>
    <w:rsid w:val="007E5136"/>
    <w:rsid w:val="007F6313"/>
    <w:rsid w:val="008032D5"/>
    <w:rsid w:val="0086388F"/>
    <w:rsid w:val="008810D6"/>
    <w:rsid w:val="008D18B2"/>
    <w:rsid w:val="008D33F9"/>
    <w:rsid w:val="0092375B"/>
    <w:rsid w:val="009412DF"/>
    <w:rsid w:val="009835C5"/>
    <w:rsid w:val="009A4C42"/>
    <w:rsid w:val="009B4F9E"/>
    <w:rsid w:val="00A20B75"/>
    <w:rsid w:val="00A5114E"/>
    <w:rsid w:val="00AA2C20"/>
    <w:rsid w:val="00AD15E1"/>
    <w:rsid w:val="00B35677"/>
    <w:rsid w:val="00B81D6F"/>
    <w:rsid w:val="00B8393B"/>
    <w:rsid w:val="00BB77D3"/>
    <w:rsid w:val="00BE0CC5"/>
    <w:rsid w:val="00C47613"/>
    <w:rsid w:val="00CC4A85"/>
    <w:rsid w:val="00DC7EC8"/>
    <w:rsid w:val="00DE5933"/>
    <w:rsid w:val="00DF1214"/>
    <w:rsid w:val="00E93659"/>
    <w:rsid w:val="00EA139E"/>
    <w:rsid w:val="00EF7799"/>
    <w:rsid w:val="00F21A4E"/>
    <w:rsid w:val="00F311C8"/>
    <w:rsid w:val="00F44526"/>
    <w:rsid w:val="00F5423D"/>
    <w:rsid w:val="00F75D07"/>
    <w:rsid w:val="00FD7120"/>
    <w:rsid w:val="00FE4F03"/>
    <w:rsid w:val="00FF2E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3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93659"/>
    <w:rPr>
      <w:sz w:val="16"/>
      <w:szCs w:val="16"/>
    </w:rPr>
  </w:style>
  <w:style w:type="paragraph" w:styleId="Kommentartekst">
    <w:name w:val="annotation text"/>
    <w:basedOn w:val="Normal"/>
    <w:link w:val="KommentartekstTegn"/>
    <w:uiPriority w:val="99"/>
    <w:semiHidden/>
    <w:unhideWhenUsed/>
    <w:rsid w:val="00E9365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3659"/>
    <w:rPr>
      <w:sz w:val="20"/>
      <w:szCs w:val="20"/>
    </w:rPr>
  </w:style>
  <w:style w:type="paragraph" w:styleId="Kommentaremne">
    <w:name w:val="annotation subject"/>
    <w:basedOn w:val="Kommentartekst"/>
    <w:next w:val="Kommentartekst"/>
    <w:link w:val="KommentaremneTegn"/>
    <w:uiPriority w:val="99"/>
    <w:semiHidden/>
    <w:unhideWhenUsed/>
    <w:rsid w:val="00E93659"/>
    <w:rPr>
      <w:b/>
      <w:bCs/>
    </w:rPr>
  </w:style>
  <w:style w:type="character" w:customStyle="1" w:styleId="KommentaremneTegn">
    <w:name w:val="Kommentaremne Tegn"/>
    <w:basedOn w:val="KommentartekstTegn"/>
    <w:link w:val="Kommentaremne"/>
    <w:uiPriority w:val="99"/>
    <w:semiHidden/>
    <w:rsid w:val="00E93659"/>
    <w:rPr>
      <w:b/>
      <w:bCs/>
      <w:sz w:val="20"/>
      <w:szCs w:val="20"/>
    </w:rPr>
  </w:style>
  <w:style w:type="paragraph" w:styleId="Markeringsbobletekst">
    <w:name w:val="Balloon Text"/>
    <w:basedOn w:val="Normal"/>
    <w:link w:val="MarkeringsbobletekstTegn"/>
    <w:uiPriority w:val="99"/>
    <w:semiHidden/>
    <w:unhideWhenUsed/>
    <w:rsid w:val="00E9365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3659"/>
    <w:rPr>
      <w:rFonts w:ascii="Tahoma" w:hAnsi="Tahoma" w:cs="Tahoma"/>
      <w:sz w:val="16"/>
      <w:szCs w:val="16"/>
    </w:rPr>
  </w:style>
  <w:style w:type="character" w:styleId="Hyperlink">
    <w:name w:val="Hyperlink"/>
    <w:basedOn w:val="Standardskrifttypeiafsnit"/>
    <w:uiPriority w:val="99"/>
    <w:unhideWhenUsed/>
    <w:rsid w:val="00413B4A"/>
    <w:rPr>
      <w:color w:val="0000FF" w:themeColor="hyperlink"/>
      <w:u w:val="single"/>
    </w:rPr>
  </w:style>
  <w:style w:type="character" w:styleId="BesgtHyperlink">
    <w:name w:val="FollowedHyperlink"/>
    <w:basedOn w:val="Standardskrifttypeiafsnit"/>
    <w:uiPriority w:val="99"/>
    <w:semiHidden/>
    <w:unhideWhenUsed/>
    <w:rsid w:val="00413B4A"/>
    <w:rPr>
      <w:color w:val="800080" w:themeColor="followedHyperlink"/>
      <w:u w:val="single"/>
    </w:rPr>
  </w:style>
  <w:style w:type="paragraph" w:styleId="Listeafsnit">
    <w:name w:val="List Paragraph"/>
    <w:basedOn w:val="Normal"/>
    <w:uiPriority w:val="34"/>
    <w:qFormat/>
    <w:rsid w:val="007D47A7"/>
    <w:pPr>
      <w:ind w:left="720"/>
      <w:contextualSpacing/>
    </w:pPr>
  </w:style>
  <w:style w:type="paragraph" w:styleId="Sidehoved">
    <w:name w:val="header"/>
    <w:basedOn w:val="Normal"/>
    <w:link w:val="SidehovedTegn"/>
    <w:uiPriority w:val="99"/>
    <w:unhideWhenUsed/>
    <w:rsid w:val="00085C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5C55"/>
  </w:style>
  <w:style w:type="paragraph" w:styleId="Sidefod">
    <w:name w:val="footer"/>
    <w:basedOn w:val="Normal"/>
    <w:link w:val="SidefodTegn"/>
    <w:uiPriority w:val="99"/>
    <w:unhideWhenUsed/>
    <w:rsid w:val="00085C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5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3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93659"/>
    <w:rPr>
      <w:sz w:val="16"/>
      <w:szCs w:val="16"/>
    </w:rPr>
  </w:style>
  <w:style w:type="paragraph" w:styleId="Kommentartekst">
    <w:name w:val="annotation text"/>
    <w:basedOn w:val="Normal"/>
    <w:link w:val="KommentartekstTegn"/>
    <w:uiPriority w:val="99"/>
    <w:semiHidden/>
    <w:unhideWhenUsed/>
    <w:rsid w:val="00E9365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3659"/>
    <w:rPr>
      <w:sz w:val="20"/>
      <w:szCs w:val="20"/>
    </w:rPr>
  </w:style>
  <w:style w:type="paragraph" w:styleId="Kommentaremne">
    <w:name w:val="annotation subject"/>
    <w:basedOn w:val="Kommentartekst"/>
    <w:next w:val="Kommentartekst"/>
    <w:link w:val="KommentaremneTegn"/>
    <w:uiPriority w:val="99"/>
    <w:semiHidden/>
    <w:unhideWhenUsed/>
    <w:rsid w:val="00E93659"/>
    <w:rPr>
      <w:b/>
      <w:bCs/>
    </w:rPr>
  </w:style>
  <w:style w:type="character" w:customStyle="1" w:styleId="KommentaremneTegn">
    <w:name w:val="Kommentaremne Tegn"/>
    <w:basedOn w:val="KommentartekstTegn"/>
    <w:link w:val="Kommentaremne"/>
    <w:uiPriority w:val="99"/>
    <w:semiHidden/>
    <w:rsid w:val="00E93659"/>
    <w:rPr>
      <w:b/>
      <w:bCs/>
      <w:sz w:val="20"/>
      <w:szCs w:val="20"/>
    </w:rPr>
  </w:style>
  <w:style w:type="paragraph" w:styleId="Markeringsbobletekst">
    <w:name w:val="Balloon Text"/>
    <w:basedOn w:val="Normal"/>
    <w:link w:val="MarkeringsbobletekstTegn"/>
    <w:uiPriority w:val="99"/>
    <w:semiHidden/>
    <w:unhideWhenUsed/>
    <w:rsid w:val="00E9365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3659"/>
    <w:rPr>
      <w:rFonts w:ascii="Tahoma" w:hAnsi="Tahoma" w:cs="Tahoma"/>
      <w:sz w:val="16"/>
      <w:szCs w:val="16"/>
    </w:rPr>
  </w:style>
  <w:style w:type="character" w:styleId="Hyperlink">
    <w:name w:val="Hyperlink"/>
    <w:basedOn w:val="Standardskrifttypeiafsnit"/>
    <w:uiPriority w:val="99"/>
    <w:unhideWhenUsed/>
    <w:rsid w:val="00413B4A"/>
    <w:rPr>
      <w:color w:val="0000FF" w:themeColor="hyperlink"/>
      <w:u w:val="single"/>
    </w:rPr>
  </w:style>
  <w:style w:type="character" w:styleId="BesgtHyperlink">
    <w:name w:val="FollowedHyperlink"/>
    <w:basedOn w:val="Standardskrifttypeiafsnit"/>
    <w:uiPriority w:val="99"/>
    <w:semiHidden/>
    <w:unhideWhenUsed/>
    <w:rsid w:val="00413B4A"/>
    <w:rPr>
      <w:color w:val="800080" w:themeColor="followedHyperlink"/>
      <w:u w:val="single"/>
    </w:rPr>
  </w:style>
  <w:style w:type="paragraph" w:styleId="Listeafsnit">
    <w:name w:val="List Paragraph"/>
    <w:basedOn w:val="Normal"/>
    <w:uiPriority w:val="34"/>
    <w:qFormat/>
    <w:rsid w:val="007D47A7"/>
    <w:pPr>
      <w:ind w:left="720"/>
      <w:contextualSpacing/>
    </w:pPr>
  </w:style>
  <w:style w:type="paragraph" w:styleId="Sidehoved">
    <w:name w:val="header"/>
    <w:basedOn w:val="Normal"/>
    <w:link w:val="SidehovedTegn"/>
    <w:uiPriority w:val="99"/>
    <w:unhideWhenUsed/>
    <w:rsid w:val="00085C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5C55"/>
  </w:style>
  <w:style w:type="paragraph" w:styleId="Sidefod">
    <w:name w:val="footer"/>
    <w:basedOn w:val="Normal"/>
    <w:link w:val="SidefodTegn"/>
    <w:uiPriority w:val="99"/>
    <w:unhideWhenUsed/>
    <w:rsid w:val="00085C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776">
      <w:bodyDiv w:val="1"/>
      <w:marLeft w:val="0"/>
      <w:marRight w:val="0"/>
      <w:marTop w:val="0"/>
      <w:marBottom w:val="0"/>
      <w:divBdr>
        <w:top w:val="none" w:sz="0" w:space="0" w:color="auto"/>
        <w:left w:val="none" w:sz="0" w:space="0" w:color="auto"/>
        <w:bottom w:val="none" w:sz="0" w:space="0" w:color="auto"/>
        <w:right w:val="none" w:sz="0" w:space="0" w:color="auto"/>
      </w:divBdr>
    </w:div>
    <w:div w:id="18907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larlovgivning@digs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BCC9-9D75-4F00-927A-27F5130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1339</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Ozcan</dc:creator>
  <cp:lastModifiedBy>Ebbe Elhauge Kristensen</cp:lastModifiedBy>
  <cp:revision>2</cp:revision>
  <dcterms:created xsi:type="dcterms:W3CDTF">2018-10-01T12:00:00Z</dcterms:created>
  <dcterms:modified xsi:type="dcterms:W3CDTF">2018-10-01T12:00:00Z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