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20 - Vederlag"/>
      </w:tblPr>
      <w:tblGrid>
        <w:gridCol w:w="6521"/>
      </w:tblGrid>
      <w:tr w:rsidR="00CE1B7D" w14:paraId="39D48F7B" w14:textId="77777777" w:rsidTr="00563ADA">
        <w:trPr>
          <w:trHeight w:val="3147"/>
          <w:tblHeader/>
        </w:trPr>
        <w:tc>
          <w:tcPr>
            <w:tcW w:w="6521" w:type="dxa"/>
            <w:noWrap/>
            <w:vAlign w:val="bottom"/>
          </w:tcPr>
          <w:p w14:paraId="5B186B6F" w14:textId="1DBCF308" w:rsidR="00CE1B7D" w:rsidRDefault="00F67D91" w:rsidP="008B69A2">
            <w:pPr>
              <w:pStyle w:val="Titel"/>
            </w:pPr>
            <w:sdt>
              <w:sdtPr>
                <w:alias w:val="Titel"/>
                <w:tag w:val="Titel"/>
                <w:id w:val="-196939739"/>
                <w:placeholder>
                  <w:docPart w:val="7BF018E9DE49475A915AD145917CD45E"/>
                </w:placeholder>
                <w:text w:multiLine="1"/>
              </w:sdtPr>
              <w:sdtEndPr/>
              <w:sdtContent>
                <w:r w:rsidR="00EF3B26" w:rsidDel="00AD496E">
                  <w:t>Bilag 2</w:t>
                </w:r>
                <w:r w:rsidR="008B7A3B" w:rsidDel="00AD496E">
                  <w:t>0</w:t>
                </w:r>
                <w:r w:rsidR="00EF3B26" w:rsidDel="00AD496E">
                  <w:t xml:space="preserve"> - </w:t>
                </w:r>
                <w:r w:rsidR="008B7A3B" w:rsidDel="00AD496E">
                  <w:t>Vederlag</w:t>
                </w:r>
              </w:sdtContent>
            </w:sdt>
          </w:p>
          <w:p w14:paraId="52DE6BA6" w14:textId="77777777" w:rsidR="00CE1B7D" w:rsidRDefault="00CE1B7D" w:rsidP="008B69A2"/>
        </w:tc>
      </w:tr>
    </w:tbl>
    <w:p w14:paraId="2A9122CC" w14:textId="77777777" w:rsidR="005B5773" w:rsidRDefault="005B5773" w:rsidP="006F5055">
      <w:pPr>
        <w:pStyle w:val="NoOffice"/>
      </w:pPr>
      <w:bookmarkStart w:id="0" w:name="StartHere"/>
      <w:bookmarkEnd w:id="0"/>
    </w:p>
    <w:p w14:paraId="1CF0C008" w14:textId="77777777" w:rsidR="00B54CBD" w:rsidRDefault="00B54CBD" w:rsidP="00B54CBD">
      <w:pPr>
        <w:pStyle w:val="PunktafsnitIndrykkettekst"/>
      </w:pPr>
      <w:bookmarkStart w:id="1" w:name="_Hlk503962988"/>
      <w:r>
        <w:t>[</w:t>
      </w:r>
      <w:r w:rsidRPr="008D566C">
        <w:rPr>
          <w:highlight w:val="yellow"/>
        </w:rPr>
        <w:t>Projektnavn</w:t>
      </w:r>
      <w:r>
        <w:t>]</w:t>
      </w:r>
    </w:p>
    <w:p w14:paraId="5B03B72A" w14:textId="77777777" w:rsidR="00B54CBD" w:rsidRDefault="00B54CBD" w:rsidP="00B54CBD">
      <w:r>
        <w:t>[</w:t>
      </w:r>
      <w:r w:rsidRPr="008D566C">
        <w:rPr>
          <w:highlight w:val="yellow"/>
        </w:rPr>
        <w:t>Måned + år</w:t>
      </w:r>
      <w:r>
        <w:t>]</w:t>
      </w:r>
    </w:p>
    <w:bookmarkEnd w:id="1"/>
    <w:p w14:paraId="3896B24E" w14:textId="77777777" w:rsidR="00B54CBD" w:rsidRDefault="00B54CBD">
      <w:pPr>
        <w:overflowPunct/>
        <w:autoSpaceDE/>
        <w:autoSpaceDN/>
        <w:adjustRightInd/>
        <w:spacing w:after="160" w:line="259" w:lineRule="auto"/>
        <w:jc w:val="left"/>
        <w:textAlignment w:val="auto"/>
      </w:pPr>
      <w:r>
        <w:br w:type="page"/>
      </w:r>
    </w:p>
    <w:p w14:paraId="08433155" w14:textId="58F203D6" w:rsidR="00B54CBD" w:rsidRPr="00B54CBD" w:rsidRDefault="00B54CBD" w:rsidP="00B54CBD">
      <w:pPr>
        <w:rPr>
          <w:highlight w:val="yellow"/>
        </w:rPr>
      </w:pPr>
      <w:r>
        <w:lastRenderedPageBreak/>
        <w:t>[</w:t>
      </w:r>
      <w:r w:rsidRPr="001D5E33">
        <w:rPr>
          <w:b/>
          <w:highlight w:val="yellow"/>
        </w:rPr>
        <w:t xml:space="preserve">Vejledning til </w:t>
      </w:r>
      <w:r w:rsidR="00302310">
        <w:rPr>
          <w:b/>
          <w:highlight w:val="yellow"/>
        </w:rPr>
        <w:t>Kunden</w:t>
      </w:r>
    </w:p>
    <w:p w14:paraId="14C838F0" w14:textId="7582CF39" w:rsidR="00B54CBD" w:rsidRDefault="00B54CBD" w:rsidP="00B54CBD">
      <w:pPr>
        <w:rPr>
          <w:highlight w:val="yellow"/>
        </w:rPr>
      </w:pPr>
      <w:r w:rsidRPr="00B54CBD">
        <w:rPr>
          <w:highlight w:val="yellow"/>
        </w:rPr>
        <w:t xml:space="preserve">Vejledning til </w:t>
      </w:r>
      <w:r w:rsidR="006C5B2B">
        <w:rPr>
          <w:highlight w:val="yellow"/>
        </w:rPr>
        <w:t>Kunden</w:t>
      </w:r>
      <w:r w:rsidR="006C5B2B" w:rsidRPr="00B54CBD">
        <w:rPr>
          <w:highlight w:val="yellow"/>
        </w:rPr>
        <w:t xml:space="preserve"> </w:t>
      </w:r>
      <w:r w:rsidRPr="00B54CBD">
        <w:rPr>
          <w:highlight w:val="yellow"/>
        </w:rPr>
        <w:t>er angivet i skarpe parenteser og markeret med gult. Ud</w:t>
      </w:r>
      <w:r w:rsidR="00302310">
        <w:rPr>
          <w:highlight w:val="yellow"/>
        </w:rPr>
        <w:t xml:space="preserve"> </w:t>
      </w:r>
      <w:r w:rsidRPr="00B54CBD">
        <w:rPr>
          <w:highlight w:val="yellow"/>
        </w:rPr>
        <w:t xml:space="preserve">over denne generelle vejledning </w:t>
      </w:r>
      <w:r w:rsidR="00297FDA">
        <w:rPr>
          <w:highlight w:val="yellow"/>
        </w:rPr>
        <w:t xml:space="preserve">kan </w:t>
      </w:r>
      <w:r w:rsidRPr="00B54CBD">
        <w:rPr>
          <w:highlight w:val="yellow"/>
        </w:rPr>
        <w:t>bilaget</w:t>
      </w:r>
      <w:r w:rsidR="00297FDA" w:rsidRPr="00297FDA">
        <w:rPr>
          <w:highlight w:val="yellow"/>
        </w:rPr>
        <w:t xml:space="preserve"> </w:t>
      </w:r>
      <w:r w:rsidR="00297FDA" w:rsidRPr="00B54CBD">
        <w:rPr>
          <w:highlight w:val="yellow"/>
        </w:rPr>
        <w:t>indeholde</w:t>
      </w:r>
      <w:r w:rsidRPr="00B54CBD">
        <w:rPr>
          <w:highlight w:val="yellow"/>
        </w:rPr>
        <w:t xml:space="preserve"> en række specifikke vejledninger til </w:t>
      </w:r>
      <w:r w:rsidR="006C5B2B">
        <w:rPr>
          <w:highlight w:val="yellow"/>
        </w:rPr>
        <w:t>Kunden</w:t>
      </w:r>
      <w:r w:rsidRPr="00B54CBD">
        <w:rPr>
          <w:highlight w:val="yellow"/>
        </w:rPr>
        <w:t xml:space="preserve">. </w:t>
      </w:r>
    </w:p>
    <w:p w14:paraId="603D055C" w14:textId="77777777" w:rsidR="00B54CBD" w:rsidRPr="00B54CBD" w:rsidRDefault="00B54CBD" w:rsidP="00B54CBD">
      <w:pPr>
        <w:rPr>
          <w:highlight w:val="yellow"/>
        </w:rPr>
      </w:pPr>
    </w:p>
    <w:p w14:paraId="5076CA8C" w14:textId="6B59ED26" w:rsidR="00B71089" w:rsidRDefault="00B71089" w:rsidP="00B54CBD">
      <w:pPr>
        <w:rPr>
          <w:highlight w:val="yellow"/>
        </w:rPr>
      </w:pPr>
      <w:bookmarkStart w:id="2" w:name="_Hlk504400075"/>
      <w:r>
        <w:rPr>
          <w:highlight w:val="yellow"/>
        </w:rPr>
        <w:t xml:space="preserve">Dette </w:t>
      </w:r>
      <w:r w:rsidR="00297FDA">
        <w:rPr>
          <w:highlight w:val="yellow"/>
        </w:rPr>
        <w:t>standard</w:t>
      </w:r>
      <w:r>
        <w:rPr>
          <w:highlight w:val="yellow"/>
        </w:rPr>
        <w:t>bilag er et kategori A-bilag</w:t>
      </w:r>
      <w:r w:rsidR="00297FDA">
        <w:rPr>
          <w:highlight w:val="yellow"/>
        </w:rPr>
        <w:t>. Kategori A</w:t>
      </w:r>
      <w:r>
        <w:rPr>
          <w:highlight w:val="yellow"/>
        </w:rPr>
        <w:t xml:space="preserve"> betyder, at </w:t>
      </w:r>
      <w:r w:rsidR="00297FDA">
        <w:rPr>
          <w:highlight w:val="yellow"/>
        </w:rPr>
        <w:t>standard</w:t>
      </w:r>
      <w:r>
        <w:rPr>
          <w:highlight w:val="yellow"/>
        </w:rPr>
        <w:t xml:space="preserve">bilaget er </w:t>
      </w:r>
      <w:r w:rsidRPr="00B71089">
        <w:rPr>
          <w:highlight w:val="yellow"/>
        </w:rPr>
        <w:t>klar til brug evt. med mindre tilpasninger og konkrete forretningsmæssige beslutninger</w:t>
      </w:r>
      <w:r>
        <w:rPr>
          <w:highlight w:val="yellow"/>
        </w:rPr>
        <w:t>.</w:t>
      </w:r>
      <w:r w:rsidR="00297FDA">
        <w:rPr>
          <w:highlight w:val="yellow"/>
        </w:rPr>
        <w:t xml:space="preserve"> Det skal dog verificeres, at standardbilaget er dækkende for Kundens behov.</w:t>
      </w:r>
    </w:p>
    <w:bookmarkEnd w:id="2"/>
    <w:p w14:paraId="74CE60A2" w14:textId="77777777" w:rsidR="00B71089" w:rsidRDefault="00B71089" w:rsidP="00B54CBD">
      <w:pPr>
        <w:rPr>
          <w:highlight w:val="yellow"/>
        </w:rPr>
      </w:pPr>
    </w:p>
    <w:p w14:paraId="200380C7" w14:textId="148514AC" w:rsidR="00B54CBD" w:rsidRDefault="00B54CBD" w:rsidP="00B54CBD">
      <w:pPr>
        <w:rPr>
          <w:highlight w:val="yellow"/>
        </w:rPr>
      </w:pPr>
      <w:r w:rsidRPr="00B54CBD">
        <w:rPr>
          <w:highlight w:val="yellow"/>
        </w:rPr>
        <w:t xml:space="preserve">Vejledning til </w:t>
      </w:r>
      <w:r w:rsidR="006C5B2B">
        <w:rPr>
          <w:highlight w:val="yellow"/>
        </w:rPr>
        <w:t>Kunden</w:t>
      </w:r>
      <w:r w:rsidR="006C5B2B" w:rsidRPr="00B54CBD">
        <w:rPr>
          <w:highlight w:val="yellow"/>
        </w:rPr>
        <w:t xml:space="preserve"> </w:t>
      </w:r>
      <w:r w:rsidRPr="00B54CBD">
        <w:rPr>
          <w:highlight w:val="yellow"/>
        </w:rPr>
        <w:t xml:space="preserve">har til formål at vejlede </w:t>
      </w:r>
      <w:r w:rsidR="006C5B2B">
        <w:rPr>
          <w:highlight w:val="yellow"/>
        </w:rPr>
        <w:t>Kunden</w:t>
      </w:r>
      <w:r w:rsidR="006C5B2B" w:rsidRPr="00B54CBD">
        <w:rPr>
          <w:highlight w:val="yellow"/>
        </w:rPr>
        <w:t xml:space="preserve"> </w:t>
      </w:r>
      <w:r w:rsidRPr="00B54CBD">
        <w:rPr>
          <w:highlight w:val="yellow"/>
        </w:rPr>
        <w:t xml:space="preserve">til at færdiggøre standardbilaget til anvendelse i en konkret kontrakt. Dette bilag skal således tilpasses i overensstemmelse med </w:t>
      </w:r>
      <w:r w:rsidR="006C5B2B">
        <w:rPr>
          <w:highlight w:val="yellow"/>
        </w:rPr>
        <w:t>Kunden</w:t>
      </w:r>
      <w:r w:rsidR="006C5B2B" w:rsidRPr="00B54CBD">
        <w:rPr>
          <w:highlight w:val="yellow"/>
        </w:rPr>
        <w:t xml:space="preserve">s </w:t>
      </w:r>
      <w:r w:rsidRPr="00B54CBD">
        <w:rPr>
          <w:highlight w:val="yellow"/>
        </w:rPr>
        <w:t xml:space="preserve">konkrete forhold og den øvrige tilpasning af standardkontraktmaterialet. </w:t>
      </w:r>
    </w:p>
    <w:p w14:paraId="41700A6A" w14:textId="77777777" w:rsidR="00B54CBD" w:rsidRPr="00B54CBD" w:rsidRDefault="00B54CBD" w:rsidP="00B54CBD">
      <w:pPr>
        <w:rPr>
          <w:highlight w:val="yellow"/>
        </w:rPr>
      </w:pPr>
    </w:p>
    <w:p w14:paraId="024C6039" w14:textId="51BA3A91" w:rsidR="00B54CBD" w:rsidRDefault="00B54CBD" w:rsidP="00B54CBD">
      <w:pPr>
        <w:rPr>
          <w:highlight w:val="yellow"/>
        </w:rPr>
      </w:pPr>
      <w:r w:rsidRPr="00B54CBD">
        <w:rPr>
          <w:highlight w:val="yellow"/>
        </w:rPr>
        <w:t xml:space="preserve">Såfremt Kontrakten er omfattet af de udbudsretlige regler, skal bilaget tilpasses i overensstemmelse hermed. Dette vil ofte indebære, at bilaget og vejledning til </w:t>
      </w:r>
      <w:r w:rsidR="006C5B2B">
        <w:rPr>
          <w:highlight w:val="yellow"/>
        </w:rPr>
        <w:t>Leverandøren</w:t>
      </w:r>
      <w:r w:rsidR="006C5B2B" w:rsidRPr="00B54CBD">
        <w:rPr>
          <w:highlight w:val="yellow"/>
        </w:rPr>
        <w:t xml:space="preserve"> </w:t>
      </w:r>
      <w:r w:rsidRPr="00B54CBD">
        <w:rPr>
          <w:highlight w:val="yellow"/>
        </w:rPr>
        <w:t>skal afstemmes med udbuddets udbudsbetingelser, der beskriver udbudsprocessen og rammerne for konkurrencen.</w:t>
      </w:r>
    </w:p>
    <w:p w14:paraId="47142AC5" w14:textId="77777777" w:rsidR="00B54CBD" w:rsidRPr="00B54CBD" w:rsidRDefault="00B54CBD" w:rsidP="00B54CBD">
      <w:pPr>
        <w:rPr>
          <w:highlight w:val="yellow"/>
        </w:rPr>
      </w:pPr>
    </w:p>
    <w:p w14:paraId="6BB9AD05" w14:textId="0A8BDB45" w:rsidR="00937017" w:rsidRDefault="00B54CBD" w:rsidP="00B54CBD">
      <w:r w:rsidRPr="00B54CBD">
        <w:rPr>
          <w:highlight w:val="yellow"/>
        </w:rPr>
        <w:t xml:space="preserve">Vejledning til </w:t>
      </w:r>
      <w:r w:rsidR="006C5B2B">
        <w:rPr>
          <w:highlight w:val="yellow"/>
        </w:rPr>
        <w:t>Kunden</w:t>
      </w:r>
      <w:r w:rsidR="006C5B2B" w:rsidRPr="00B54CBD">
        <w:rPr>
          <w:highlight w:val="yellow"/>
        </w:rPr>
        <w:t xml:space="preserve"> </w:t>
      </w:r>
      <w:r w:rsidRPr="00B54CBD">
        <w:rPr>
          <w:highlight w:val="yellow"/>
        </w:rPr>
        <w:t>bør slettes</w:t>
      </w:r>
      <w:r w:rsidR="006C5B2B">
        <w:rPr>
          <w:highlight w:val="yellow"/>
        </w:rPr>
        <w:t>,</w:t>
      </w:r>
      <w:r w:rsidRPr="00B54CBD">
        <w:rPr>
          <w:highlight w:val="yellow"/>
        </w:rPr>
        <w:t xml:space="preserve"> inden kontraktmaterialet offentliggøres.</w:t>
      </w:r>
      <w:r>
        <w:t>]</w:t>
      </w:r>
    </w:p>
    <w:p w14:paraId="4D2F8769" w14:textId="77777777" w:rsidR="001D5E33" w:rsidRDefault="001D5E33" w:rsidP="00B54CBD"/>
    <w:p w14:paraId="1D442E7F" w14:textId="32679F17" w:rsidR="001D5E33" w:rsidRPr="001D5E33" w:rsidRDefault="001D5E33" w:rsidP="001D5E33">
      <w:pPr>
        <w:rPr>
          <w:b/>
          <w:i/>
        </w:rPr>
      </w:pPr>
      <w:r w:rsidRPr="001D5E33">
        <w:rPr>
          <w:i/>
        </w:rPr>
        <w:t>[</w:t>
      </w:r>
      <w:r w:rsidRPr="001D5E33">
        <w:rPr>
          <w:b/>
          <w:i/>
        </w:rPr>
        <w:t xml:space="preserve">Vejledning til </w:t>
      </w:r>
      <w:r w:rsidR="006C5B2B">
        <w:rPr>
          <w:b/>
          <w:i/>
        </w:rPr>
        <w:t>Leverandøren</w:t>
      </w:r>
    </w:p>
    <w:p w14:paraId="5BB8810C" w14:textId="47C80252" w:rsidR="001D5E33" w:rsidRPr="001D5E33" w:rsidRDefault="001D5E33" w:rsidP="001D5E33">
      <w:pPr>
        <w:rPr>
          <w:i/>
        </w:rPr>
      </w:pPr>
      <w:r w:rsidRPr="001D5E33">
        <w:rPr>
          <w:i/>
        </w:rPr>
        <w:t xml:space="preserve">Vejledning til </w:t>
      </w:r>
      <w:r w:rsidR="006C5B2B">
        <w:rPr>
          <w:i/>
        </w:rPr>
        <w:t>Leverandøren</w:t>
      </w:r>
      <w:r w:rsidR="006C5B2B" w:rsidRPr="001D5E33">
        <w:rPr>
          <w:i/>
        </w:rPr>
        <w:t xml:space="preserve"> </w:t>
      </w:r>
      <w:r w:rsidRPr="001D5E33">
        <w:rPr>
          <w:i/>
        </w:rPr>
        <w:t>er angivet med kursiv i skarpe parenteser som denne. Ud</w:t>
      </w:r>
      <w:r w:rsidR="00302310">
        <w:rPr>
          <w:i/>
        </w:rPr>
        <w:t xml:space="preserve"> </w:t>
      </w:r>
      <w:r w:rsidRPr="001D5E33">
        <w:rPr>
          <w:i/>
        </w:rPr>
        <w:t xml:space="preserve">over denne generelle vejledning indeholder bilaget en række specifikke vejledningstekster til </w:t>
      </w:r>
      <w:r w:rsidR="006C5B2B">
        <w:rPr>
          <w:i/>
        </w:rPr>
        <w:t>Leverandøren</w:t>
      </w:r>
      <w:r w:rsidRPr="001D5E33">
        <w:rPr>
          <w:i/>
        </w:rPr>
        <w:t>.</w:t>
      </w:r>
    </w:p>
    <w:p w14:paraId="503B8B11" w14:textId="77777777" w:rsidR="001D5E33" w:rsidRPr="001D5E33" w:rsidRDefault="001D5E33" w:rsidP="001D5E33">
      <w:pPr>
        <w:rPr>
          <w:i/>
        </w:rPr>
      </w:pPr>
    </w:p>
    <w:p w14:paraId="1752DF9F" w14:textId="77D99088" w:rsidR="001D5E33" w:rsidRPr="001D5E33" w:rsidRDefault="003F3757" w:rsidP="001D5E33">
      <w:pPr>
        <w:rPr>
          <w:i/>
        </w:rPr>
      </w:pPr>
      <w:r>
        <w:rPr>
          <w:i/>
        </w:rPr>
        <w:t>Leverandøren</w:t>
      </w:r>
      <w:r w:rsidRPr="001D5E33">
        <w:rPr>
          <w:i/>
        </w:rPr>
        <w:t xml:space="preserve"> </w:t>
      </w:r>
      <w:r w:rsidR="001D5E33" w:rsidRPr="001D5E33">
        <w:rPr>
          <w:i/>
        </w:rPr>
        <w:t xml:space="preserve">skal </w:t>
      </w:r>
      <w:r w:rsidR="00F978D2">
        <w:rPr>
          <w:i/>
        </w:rPr>
        <w:t xml:space="preserve">ikke </w:t>
      </w:r>
      <w:r w:rsidR="001D5E33" w:rsidRPr="001D5E33">
        <w:rPr>
          <w:i/>
        </w:rPr>
        <w:t xml:space="preserve">udfylde dette </w:t>
      </w:r>
      <w:r w:rsidR="008B69A2">
        <w:rPr>
          <w:i/>
        </w:rPr>
        <w:t>Bilag</w:t>
      </w:r>
      <w:r w:rsidR="001D5E33" w:rsidRPr="001D5E33">
        <w:rPr>
          <w:i/>
        </w:rPr>
        <w:t xml:space="preserve"> 2</w:t>
      </w:r>
      <w:r w:rsidR="00F978D2">
        <w:rPr>
          <w:i/>
        </w:rPr>
        <w:t>0</w:t>
      </w:r>
      <w:r w:rsidR="00065957">
        <w:rPr>
          <w:i/>
        </w:rPr>
        <w:t>. Leverandøren skal udfylde Bilag 20.a ”Enhedspriser”</w:t>
      </w:r>
      <w:r w:rsidR="001D5E33" w:rsidRPr="001D5E33">
        <w:rPr>
          <w:i/>
        </w:rPr>
        <w:t xml:space="preserve"> i overensstemmelse med den specifikke vejledning </w:t>
      </w:r>
      <w:r w:rsidR="00065957">
        <w:rPr>
          <w:i/>
        </w:rPr>
        <w:t>deri</w:t>
      </w:r>
      <w:r w:rsidR="00302310">
        <w:rPr>
          <w:i/>
        </w:rPr>
        <w:t>,</w:t>
      </w:r>
      <w:r w:rsidR="001D5E33" w:rsidRPr="001D5E33">
        <w:rPr>
          <w:i/>
        </w:rPr>
        <w:t xml:space="preserve"> som indleveres som en del af tilbuddet. </w:t>
      </w:r>
    </w:p>
    <w:p w14:paraId="6159A56F" w14:textId="77777777" w:rsidR="001D5E33" w:rsidRPr="001D5E33" w:rsidRDefault="001D5E33" w:rsidP="001D5E33">
      <w:pPr>
        <w:rPr>
          <w:i/>
        </w:rPr>
      </w:pPr>
    </w:p>
    <w:p w14:paraId="2A695066" w14:textId="475A0B24" w:rsidR="001D5E33" w:rsidRDefault="003F3757" w:rsidP="001D5E33">
      <w:pPr>
        <w:rPr>
          <w:i/>
        </w:rPr>
      </w:pPr>
      <w:r>
        <w:rPr>
          <w:i/>
        </w:rPr>
        <w:t>Leverandøren</w:t>
      </w:r>
      <w:r w:rsidRPr="001D5E33">
        <w:rPr>
          <w:i/>
        </w:rPr>
        <w:t xml:space="preserve"> </w:t>
      </w:r>
      <w:r w:rsidR="001D5E33" w:rsidRPr="001D5E33">
        <w:rPr>
          <w:i/>
        </w:rPr>
        <w:t xml:space="preserve">skal ikke ændre i bilaget, medmindre dette specifikt er angivet i vejledning til </w:t>
      </w:r>
      <w:r w:rsidR="006C5B2B">
        <w:rPr>
          <w:i/>
        </w:rPr>
        <w:t>Leverandøren</w:t>
      </w:r>
      <w:r w:rsidR="001D5E33" w:rsidRPr="001D5E33">
        <w:rPr>
          <w:i/>
        </w:rPr>
        <w:t>, eller hvor det er markeret på anden vis.</w:t>
      </w:r>
    </w:p>
    <w:p w14:paraId="646A3F0A" w14:textId="5B01501A" w:rsidR="00437964" w:rsidRDefault="00437964" w:rsidP="001D5E33">
      <w:pPr>
        <w:rPr>
          <w:i/>
        </w:rPr>
      </w:pPr>
    </w:p>
    <w:p w14:paraId="71D04695" w14:textId="29C35F50" w:rsidR="00437964" w:rsidRPr="00012A90" w:rsidRDefault="00437964" w:rsidP="00437964">
      <w:pPr>
        <w:rPr>
          <w:i/>
        </w:rPr>
      </w:pPr>
      <w:bookmarkStart w:id="3" w:name="_Hlk512236782"/>
      <w:r w:rsidRPr="00012A90">
        <w:rPr>
          <w:i/>
        </w:rPr>
        <w:t xml:space="preserve">I Kontrakten er der henvist til Bilag </w:t>
      </w:r>
      <w:r>
        <w:rPr>
          <w:i/>
        </w:rPr>
        <w:t>20</w:t>
      </w:r>
      <w:r w:rsidRPr="00012A90">
        <w:rPr>
          <w:i/>
        </w:rPr>
        <w:t xml:space="preserve">, </w:t>
      </w:r>
      <w:r>
        <w:rPr>
          <w:i/>
        </w:rPr>
        <w:t>Vederlag</w:t>
      </w:r>
      <w:r w:rsidRPr="00012A90">
        <w:rPr>
          <w:i/>
        </w:rPr>
        <w:t xml:space="preserve"> i følgende punkter: </w:t>
      </w:r>
    </w:p>
    <w:p w14:paraId="5E30C866" w14:textId="77777777" w:rsidR="00437964" w:rsidRPr="00012A90" w:rsidRDefault="00437964" w:rsidP="00437964">
      <w:pPr>
        <w:rPr>
          <w:i/>
        </w:rPr>
      </w:pPr>
    </w:p>
    <w:p w14:paraId="1084DE14" w14:textId="2DF86E03" w:rsidR="00437964" w:rsidRDefault="00437964" w:rsidP="00437964">
      <w:pPr>
        <w:pStyle w:val="Listeafsnit"/>
        <w:numPr>
          <w:ilvl w:val="0"/>
          <w:numId w:val="23"/>
        </w:numPr>
        <w:rPr>
          <w:i/>
        </w:rPr>
      </w:pPr>
      <w:r w:rsidRPr="00012A90">
        <w:rPr>
          <w:i/>
        </w:rPr>
        <w:t xml:space="preserve">Punkt </w:t>
      </w:r>
      <w:r>
        <w:rPr>
          <w:i/>
        </w:rPr>
        <w:t>9.2</w:t>
      </w:r>
      <w:r w:rsidRPr="00012A90">
        <w:rPr>
          <w:i/>
        </w:rPr>
        <w:t xml:space="preserve"> (</w:t>
      </w:r>
      <w:r w:rsidRPr="00437964">
        <w:rPr>
          <w:i/>
        </w:rPr>
        <w:t>Reduceret fakturering ved udskiftning af nøglemedarbejdere</w:t>
      </w:r>
      <w:r w:rsidRPr="00012A90">
        <w:rPr>
          <w:i/>
        </w:rPr>
        <w:t>)</w:t>
      </w:r>
    </w:p>
    <w:p w14:paraId="0FF64FD9" w14:textId="17266138" w:rsidR="00437964" w:rsidRDefault="00437964" w:rsidP="00437964">
      <w:pPr>
        <w:pStyle w:val="Listeafsnit"/>
        <w:numPr>
          <w:ilvl w:val="0"/>
          <w:numId w:val="23"/>
        </w:numPr>
        <w:rPr>
          <w:i/>
        </w:rPr>
      </w:pPr>
      <w:r>
        <w:rPr>
          <w:i/>
        </w:rPr>
        <w:t>Punkt 26 (Ibrugtagning af løbende Ydelser før Transitionsdagen)</w:t>
      </w:r>
    </w:p>
    <w:p w14:paraId="366C684D" w14:textId="0291E2FE" w:rsidR="00437964" w:rsidRDefault="00437964" w:rsidP="00437964">
      <w:pPr>
        <w:pStyle w:val="Listeafsnit"/>
        <w:numPr>
          <w:ilvl w:val="0"/>
          <w:numId w:val="23"/>
        </w:numPr>
        <w:rPr>
          <w:i/>
        </w:rPr>
      </w:pPr>
      <w:r>
        <w:rPr>
          <w:i/>
        </w:rPr>
        <w:t>Punkt 37.1 (Generelt)</w:t>
      </w:r>
    </w:p>
    <w:p w14:paraId="31BDE2D8" w14:textId="6ADC514C" w:rsidR="00437964" w:rsidRDefault="00437964" w:rsidP="00437964">
      <w:pPr>
        <w:pStyle w:val="Listeafsnit"/>
        <w:numPr>
          <w:ilvl w:val="0"/>
          <w:numId w:val="23"/>
        </w:numPr>
        <w:rPr>
          <w:i/>
        </w:rPr>
      </w:pPr>
      <w:r>
        <w:rPr>
          <w:i/>
        </w:rPr>
        <w:t>Punkt 37.2 (</w:t>
      </w:r>
      <w:r w:rsidR="004509CF">
        <w:rPr>
          <w:i/>
        </w:rPr>
        <w:t>Vederlag for Indledende Ydelser)</w:t>
      </w:r>
    </w:p>
    <w:p w14:paraId="2D4ADA12" w14:textId="11AE3043" w:rsidR="004509CF" w:rsidRPr="004509CF" w:rsidRDefault="004509CF" w:rsidP="004509CF">
      <w:pPr>
        <w:pStyle w:val="Listeafsnit"/>
        <w:numPr>
          <w:ilvl w:val="0"/>
          <w:numId w:val="23"/>
        </w:numPr>
        <w:rPr>
          <w:i/>
        </w:rPr>
      </w:pPr>
      <w:r w:rsidRPr="004509CF">
        <w:rPr>
          <w:i/>
        </w:rPr>
        <w:t>Punkt</w:t>
      </w:r>
      <w:r>
        <w:rPr>
          <w:i/>
        </w:rPr>
        <w:t xml:space="preserve"> 37.3.1</w:t>
      </w:r>
      <w:r w:rsidRPr="004509CF">
        <w:rPr>
          <w:i/>
        </w:rPr>
        <w:t xml:space="preserve"> </w:t>
      </w:r>
      <w:r>
        <w:rPr>
          <w:i/>
        </w:rPr>
        <w:t>(</w:t>
      </w:r>
      <w:r w:rsidRPr="004509CF">
        <w:rPr>
          <w:i/>
        </w:rPr>
        <w:t>Vederlag for Desktopadministration</w:t>
      </w:r>
      <w:r>
        <w:rPr>
          <w:i/>
        </w:rPr>
        <w:t>)</w:t>
      </w:r>
    </w:p>
    <w:p w14:paraId="2127BCF5" w14:textId="684E991A" w:rsidR="004509CF" w:rsidRDefault="004509CF" w:rsidP="00437964">
      <w:pPr>
        <w:pStyle w:val="Listeafsnit"/>
        <w:numPr>
          <w:ilvl w:val="0"/>
          <w:numId w:val="23"/>
        </w:numPr>
        <w:rPr>
          <w:i/>
        </w:rPr>
      </w:pPr>
      <w:r w:rsidRPr="004509CF">
        <w:rPr>
          <w:i/>
        </w:rPr>
        <w:t>Punkt</w:t>
      </w:r>
      <w:r>
        <w:rPr>
          <w:i/>
        </w:rPr>
        <w:t xml:space="preserve"> 37.3.2</w:t>
      </w:r>
      <w:r w:rsidRPr="004509CF">
        <w:rPr>
          <w:i/>
        </w:rPr>
        <w:t xml:space="preserve"> </w:t>
      </w:r>
      <w:r>
        <w:rPr>
          <w:i/>
        </w:rPr>
        <w:t>(Vederlag for Support)</w:t>
      </w:r>
    </w:p>
    <w:p w14:paraId="2A54600D" w14:textId="41453C62" w:rsidR="004509CF" w:rsidRDefault="004509CF" w:rsidP="00437964">
      <w:pPr>
        <w:pStyle w:val="Listeafsnit"/>
        <w:numPr>
          <w:ilvl w:val="0"/>
          <w:numId w:val="23"/>
        </w:numPr>
        <w:rPr>
          <w:i/>
        </w:rPr>
      </w:pPr>
      <w:r w:rsidRPr="004509CF">
        <w:rPr>
          <w:i/>
        </w:rPr>
        <w:t>Punkt</w:t>
      </w:r>
      <w:r>
        <w:rPr>
          <w:i/>
        </w:rPr>
        <w:t xml:space="preserve"> 37.3.3</w:t>
      </w:r>
      <w:r w:rsidRPr="004509CF">
        <w:rPr>
          <w:i/>
        </w:rPr>
        <w:t xml:space="preserve"> </w:t>
      </w:r>
      <w:r>
        <w:rPr>
          <w:i/>
        </w:rPr>
        <w:t>(Vederlag for Applikationsdrift)</w:t>
      </w:r>
    </w:p>
    <w:p w14:paraId="182A51B2" w14:textId="18B3A16E" w:rsidR="004509CF" w:rsidRDefault="004509CF" w:rsidP="00437964">
      <w:pPr>
        <w:pStyle w:val="Listeafsnit"/>
        <w:numPr>
          <w:ilvl w:val="0"/>
          <w:numId w:val="23"/>
        </w:numPr>
        <w:rPr>
          <w:i/>
        </w:rPr>
      </w:pPr>
      <w:r>
        <w:rPr>
          <w:i/>
        </w:rPr>
        <w:t>Punkt 37.3.4 (Vederlag for Infrastrukturdrift)</w:t>
      </w:r>
    </w:p>
    <w:p w14:paraId="3E44B7D4" w14:textId="0ABF4AED" w:rsidR="004509CF" w:rsidRDefault="004509CF" w:rsidP="00437964">
      <w:pPr>
        <w:pStyle w:val="Listeafsnit"/>
        <w:numPr>
          <w:ilvl w:val="0"/>
          <w:numId w:val="23"/>
        </w:numPr>
        <w:rPr>
          <w:i/>
        </w:rPr>
      </w:pPr>
      <w:r w:rsidRPr="004509CF">
        <w:rPr>
          <w:i/>
        </w:rPr>
        <w:t>Punkt</w:t>
      </w:r>
      <w:r>
        <w:rPr>
          <w:i/>
        </w:rPr>
        <w:t xml:space="preserve"> 37.3.5</w:t>
      </w:r>
      <w:r w:rsidRPr="004509CF">
        <w:rPr>
          <w:i/>
        </w:rPr>
        <w:t xml:space="preserve"> </w:t>
      </w:r>
      <w:r>
        <w:rPr>
          <w:i/>
        </w:rPr>
        <w:t>(Vederlag for Datacenterdrift)</w:t>
      </w:r>
    </w:p>
    <w:p w14:paraId="67AA153A" w14:textId="52F3B1AC" w:rsidR="004509CF" w:rsidRDefault="004509CF" w:rsidP="00437964">
      <w:pPr>
        <w:pStyle w:val="Listeafsnit"/>
        <w:numPr>
          <w:ilvl w:val="0"/>
          <w:numId w:val="23"/>
        </w:numPr>
        <w:rPr>
          <w:i/>
        </w:rPr>
      </w:pPr>
      <w:r w:rsidRPr="004509CF">
        <w:rPr>
          <w:i/>
        </w:rPr>
        <w:t>Punkt</w:t>
      </w:r>
      <w:r>
        <w:rPr>
          <w:i/>
        </w:rPr>
        <w:t xml:space="preserve"> 37.3.6</w:t>
      </w:r>
      <w:r w:rsidRPr="004509CF">
        <w:rPr>
          <w:i/>
        </w:rPr>
        <w:t xml:space="preserve"> </w:t>
      </w:r>
      <w:r>
        <w:rPr>
          <w:i/>
        </w:rPr>
        <w:t>(Vederlag for Netværksdrift)</w:t>
      </w:r>
    </w:p>
    <w:p w14:paraId="52295FA3" w14:textId="77777777" w:rsidR="004509CF" w:rsidRDefault="004509CF" w:rsidP="00437964">
      <w:pPr>
        <w:pStyle w:val="Listeafsnit"/>
        <w:numPr>
          <w:ilvl w:val="0"/>
          <w:numId w:val="23"/>
        </w:numPr>
        <w:rPr>
          <w:i/>
        </w:rPr>
      </w:pPr>
      <w:r w:rsidRPr="004509CF">
        <w:rPr>
          <w:i/>
        </w:rPr>
        <w:t>Punkt</w:t>
      </w:r>
      <w:r>
        <w:rPr>
          <w:i/>
        </w:rPr>
        <w:t xml:space="preserve"> 37.3.7</w:t>
      </w:r>
      <w:r w:rsidRPr="004509CF">
        <w:rPr>
          <w:i/>
        </w:rPr>
        <w:t xml:space="preserve"> </w:t>
      </w:r>
      <w:r>
        <w:rPr>
          <w:i/>
        </w:rPr>
        <w:t>(Skalering af vederlag for Løbende Ydelser ved Operationelle Tilpasninger)</w:t>
      </w:r>
    </w:p>
    <w:p w14:paraId="69F3F88F" w14:textId="72167520" w:rsidR="004509CF" w:rsidRDefault="004509CF" w:rsidP="00437964">
      <w:pPr>
        <w:pStyle w:val="Listeafsnit"/>
        <w:numPr>
          <w:ilvl w:val="0"/>
          <w:numId w:val="23"/>
        </w:numPr>
        <w:rPr>
          <w:i/>
        </w:rPr>
      </w:pPr>
      <w:r w:rsidRPr="004509CF">
        <w:rPr>
          <w:i/>
        </w:rPr>
        <w:t>Punkt</w:t>
      </w:r>
      <w:r>
        <w:rPr>
          <w:i/>
        </w:rPr>
        <w:t xml:space="preserve"> 37.4.1</w:t>
      </w:r>
      <w:r w:rsidRPr="004509CF">
        <w:rPr>
          <w:i/>
        </w:rPr>
        <w:t xml:space="preserve"> </w:t>
      </w:r>
      <w:r>
        <w:rPr>
          <w:i/>
        </w:rPr>
        <w:t xml:space="preserve">(Vederlag for Standardbestillingsydelser) </w:t>
      </w:r>
    </w:p>
    <w:p w14:paraId="62984F00" w14:textId="59CF3306" w:rsidR="004509CF" w:rsidRDefault="004509CF" w:rsidP="00437964">
      <w:pPr>
        <w:pStyle w:val="Listeafsnit"/>
        <w:numPr>
          <w:ilvl w:val="0"/>
          <w:numId w:val="23"/>
        </w:numPr>
        <w:rPr>
          <w:i/>
        </w:rPr>
      </w:pPr>
      <w:r w:rsidRPr="004509CF">
        <w:rPr>
          <w:i/>
        </w:rPr>
        <w:t>Punkt</w:t>
      </w:r>
      <w:r>
        <w:rPr>
          <w:i/>
        </w:rPr>
        <w:t xml:space="preserve"> 37.4.2</w:t>
      </w:r>
      <w:r w:rsidRPr="004509CF">
        <w:rPr>
          <w:i/>
        </w:rPr>
        <w:t xml:space="preserve"> </w:t>
      </w:r>
      <w:r>
        <w:rPr>
          <w:i/>
        </w:rPr>
        <w:t>(Vederlag for Konsulentydelser)</w:t>
      </w:r>
    </w:p>
    <w:p w14:paraId="7CE56151" w14:textId="189EB451" w:rsidR="004509CF" w:rsidRDefault="004509CF" w:rsidP="00437964">
      <w:pPr>
        <w:pStyle w:val="Listeafsnit"/>
        <w:numPr>
          <w:ilvl w:val="0"/>
          <w:numId w:val="23"/>
        </w:numPr>
        <w:rPr>
          <w:i/>
        </w:rPr>
      </w:pPr>
      <w:r w:rsidRPr="004509CF">
        <w:rPr>
          <w:i/>
        </w:rPr>
        <w:lastRenderedPageBreak/>
        <w:t>Punkt</w:t>
      </w:r>
      <w:r>
        <w:rPr>
          <w:i/>
        </w:rPr>
        <w:t xml:space="preserve"> 37.4.3</w:t>
      </w:r>
      <w:r w:rsidRPr="004509CF">
        <w:rPr>
          <w:i/>
        </w:rPr>
        <w:t xml:space="preserve"> </w:t>
      </w:r>
      <w:r>
        <w:rPr>
          <w:i/>
        </w:rPr>
        <w:t>(Vederlag for Optioner)</w:t>
      </w:r>
    </w:p>
    <w:p w14:paraId="1B78343C" w14:textId="3E3241CD" w:rsidR="004509CF" w:rsidRDefault="004509CF" w:rsidP="00437964">
      <w:pPr>
        <w:pStyle w:val="Listeafsnit"/>
        <w:numPr>
          <w:ilvl w:val="0"/>
          <w:numId w:val="23"/>
        </w:numPr>
        <w:rPr>
          <w:i/>
        </w:rPr>
      </w:pPr>
      <w:r>
        <w:rPr>
          <w:i/>
        </w:rPr>
        <w:t>Punkt 38 (Benchmarking)</w:t>
      </w:r>
    </w:p>
    <w:p w14:paraId="2913286C" w14:textId="7FC18606" w:rsidR="004509CF" w:rsidRDefault="0036333B" w:rsidP="00437964">
      <w:pPr>
        <w:pStyle w:val="Listeafsnit"/>
        <w:numPr>
          <w:ilvl w:val="0"/>
          <w:numId w:val="23"/>
        </w:numPr>
        <w:rPr>
          <w:i/>
        </w:rPr>
      </w:pPr>
      <w:r>
        <w:rPr>
          <w:i/>
        </w:rPr>
        <w:t>Punkt 39.2 (Faktureringsbetingelser)</w:t>
      </w:r>
    </w:p>
    <w:p w14:paraId="3E3F8206" w14:textId="145168E8" w:rsidR="0036333B" w:rsidRDefault="0036333B" w:rsidP="00437964">
      <w:pPr>
        <w:pStyle w:val="Listeafsnit"/>
        <w:numPr>
          <w:ilvl w:val="0"/>
          <w:numId w:val="23"/>
        </w:numPr>
        <w:rPr>
          <w:i/>
        </w:rPr>
      </w:pPr>
      <w:r>
        <w:rPr>
          <w:i/>
        </w:rPr>
        <w:t>Punkt 40 (Betalingsbetingelser)</w:t>
      </w:r>
    </w:p>
    <w:p w14:paraId="1232423C" w14:textId="6FF0A874" w:rsidR="0036333B" w:rsidRDefault="0036333B" w:rsidP="00437964">
      <w:pPr>
        <w:pStyle w:val="Listeafsnit"/>
        <w:numPr>
          <w:ilvl w:val="0"/>
          <w:numId w:val="23"/>
        </w:numPr>
        <w:rPr>
          <w:i/>
        </w:rPr>
      </w:pPr>
      <w:r>
        <w:rPr>
          <w:i/>
        </w:rPr>
        <w:t>Punkt 44.2 (Opgørelse ved ophævelse)</w:t>
      </w:r>
    </w:p>
    <w:p w14:paraId="5C6ADDBE" w14:textId="36540059" w:rsidR="00437964" w:rsidRPr="0036333B" w:rsidRDefault="0036333B" w:rsidP="006512B2">
      <w:pPr>
        <w:pStyle w:val="Listeafsnit"/>
        <w:numPr>
          <w:ilvl w:val="0"/>
          <w:numId w:val="23"/>
        </w:numPr>
        <w:rPr>
          <w:i/>
        </w:rPr>
      </w:pPr>
      <w:r w:rsidRPr="0036333B">
        <w:rPr>
          <w:i/>
        </w:rPr>
        <w:t>Punkt 54.2 Opsigelse)</w:t>
      </w:r>
      <w:bookmarkEnd w:id="3"/>
    </w:p>
    <w:p w14:paraId="253E1872" w14:textId="77777777" w:rsidR="001D5E33" w:rsidRPr="001D5E33" w:rsidRDefault="001D5E33" w:rsidP="001D5E33">
      <w:pPr>
        <w:rPr>
          <w:i/>
        </w:rPr>
      </w:pPr>
    </w:p>
    <w:p w14:paraId="5A3C9A84" w14:textId="55549C7E" w:rsidR="001D5E33" w:rsidRDefault="001D5E33" w:rsidP="001D5E33">
      <w:r w:rsidRPr="001D5E33">
        <w:rPr>
          <w:i/>
        </w:rPr>
        <w:t xml:space="preserve">Vejledning til </w:t>
      </w:r>
      <w:r w:rsidR="006C5B2B">
        <w:rPr>
          <w:i/>
        </w:rPr>
        <w:t>Leverandøren</w:t>
      </w:r>
      <w:r w:rsidR="006C5B2B" w:rsidRPr="001D5E33">
        <w:rPr>
          <w:i/>
        </w:rPr>
        <w:t xml:space="preserve"> </w:t>
      </w:r>
      <w:r w:rsidRPr="001D5E33">
        <w:rPr>
          <w:i/>
        </w:rPr>
        <w:t>slettes inden kontraktunderskrift.]</w:t>
      </w:r>
    </w:p>
    <w:p w14:paraId="62009045" w14:textId="77777777" w:rsidR="001D5E33" w:rsidRDefault="001D5E33" w:rsidP="001D5E33"/>
    <w:p w14:paraId="4AAB8A7F" w14:textId="77777777" w:rsidR="001D5E33" w:rsidRDefault="001D5E33">
      <w:pPr>
        <w:overflowPunct/>
        <w:autoSpaceDE/>
        <w:autoSpaceDN/>
        <w:adjustRightInd/>
        <w:spacing w:after="160" w:line="259" w:lineRule="auto"/>
        <w:jc w:val="left"/>
        <w:textAlignment w:val="auto"/>
      </w:pPr>
      <w:r>
        <w:br w:type="page"/>
      </w:r>
    </w:p>
    <w:p w14:paraId="31ED0567" w14:textId="77777777" w:rsidR="001D5E33" w:rsidRDefault="001D5E33" w:rsidP="001D5E33">
      <w:pPr>
        <w:pStyle w:val="Overskrift9"/>
      </w:pPr>
      <w:r>
        <w:lastRenderedPageBreak/>
        <w:t>Indholdsfortegnelse</w:t>
      </w:r>
    </w:p>
    <w:p w14:paraId="08A6DA60" w14:textId="579F008E" w:rsidR="00D47027" w:rsidRDefault="00D47027">
      <w:pPr>
        <w:pStyle w:val="Indholdsfortegnelse1"/>
        <w:rPr>
          <w:rFonts w:asciiTheme="minorHAnsi" w:eastAsiaTheme="minorEastAsia" w:hAnsiTheme="minorHAnsi" w:cstheme="minorBidi"/>
          <w:bCs w:val="0"/>
          <w:caps w:val="0"/>
          <w:noProof/>
          <w:sz w:val="22"/>
          <w:szCs w:val="22"/>
        </w:rPr>
      </w:pPr>
      <w:r>
        <w:rPr>
          <w:caps w:val="0"/>
        </w:rPr>
        <w:fldChar w:fldCharType="begin"/>
      </w:r>
      <w:r>
        <w:rPr>
          <w:caps w:val="0"/>
        </w:rPr>
        <w:instrText xml:space="preserve"> TOC \o "1-4" \h \z \u </w:instrText>
      </w:r>
      <w:r>
        <w:rPr>
          <w:caps w:val="0"/>
        </w:rPr>
        <w:fldChar w:fldCharType="separate"/>
      </w:r>
      <w:hyperlink w:anchor="_Toc517163812" w:history="1">
        <w:r w:rsidRPr="00AB5C96">
          <w:rPr>
            <w:rStyle w:val="Hyperlink"/>
            <w:noProof/>
          </w:rPr>
          <w:t>1.</w:t>
        </w:r>
        <w:r>
          <w:rPr>
            <w:rFonts w:asciiTheme="minorHAnsi" w:eastAsiaTheme="minorEastAsia" w:hAnsiTheme="minorHAnsi" w:cstheme="minorBidi"/>
            <w:bCs w:val="0"/>
            <w:caps w:val="0"/>
            <w:noProof/>
            <w:sz w:val="22"/>
            <w:szCs w:val="22"/>
          </w:rPr>
          <w:tab/>
        </w:r>
        <w:r w:rsidRPr="00AB5C96">
          <w:rPr>
            <w:rStyle w:val="Hyperlink"/>
            <w:noProof/>
          </w:rPr>
          <w:t>Indledning</w:t>
        </w:r>
        <w:r>
          <w:rPr>
            <w:noProof/>
            <w:webHidden/>
          </w:rPr>
          <w:tab/>
        </w:r>
        <w:r>
          <w:rPr>
            <w:noProof/>
            <w:webHidden/>
          </w:rPr>
          <w:fldChar w:fldCharType="begin"/>
        </w:r>
        <w:r>
          <w:rPr>
            <w:noProof/>
            <w:webHidden/>
          </w:rPr>
          <w:instrText xml:space="preserve"> PAGEREF _Toc517163812 \h </w:instrText>
        </w:r>
        <w:r>
          <w:rPr>
            <w:noProof/>
            <w:webHidden/>
          </w:rPr>
        </w:r>
        <w:r>
          <w:rPr>
            <w:noProof/>
            <w:webHidden/>
          </w:rPr>
          <w:fldChar w:fldCharType="separate"/>
        </w:r>
        <w:r w:rsidR="00E063CF">
          <w:rPr>
            <w:noProof/>
            <w:webHidden/>
          </w:rPr>
          <w:t>5</w:t>
        </w:r>
        <w:r>
          <w:rPr>
            <w:noProof/>
            <w:webHidden/>
          </w:rPr>
          <w:fldChar w:fldCharType="end"/>
        </w:r>
      </w:hyperlink>
    </w:p>
    <w:p w14:paraId="04144DD3" w14:textId="39DADAC2" w:rsidR="00D47027" w:rsidRDefault="00F67D91">
      <w:pPr>
        <w:pStyle w:val="Indholdsfortegnelse1"/>
        <w:rPr>
          <w:rFonts w:asciiTheme="minorHAnsi" w:eastAsiaTheme="minorEastAsia" w:hAnsiTheme="minorHAnsi" w:cstheme="minorBidi"/>
          <w:bCs w:val="0"/>
          <w:caps w:val="0"/>
          <w:noProof/>
          <w:sz w:val="22"/>
          <w:szCs w:val="22"/>
        </w:rPr>
      </w:pPr>
      <w:hyperlink w:anchor="_Toc517163813" w:history="1">
        <w:r w:rsidR="00D47027" w:rsidRPr="00AB5C96">
          <w:rPr>
            <w:rStyle w:val="Hyperlink"/>
            <w:noProof/>
          </w:rPr>
          <w:t>2.</w:t>
        </w:r>
        <w:r w:rsidR="00D47027">
          <w:rPr>
            <w:rFonts w:asciiTheme="minorHAnsi" w:eastAsiaTheme="minorEastAsia" w:hAnsiTheme="minorHAnsi" w:cstheme="minorBidi"/>
            <w:bCs w:val="0"/>
            <w:caps w:val="0"/>
            <w:noProof/>
            <w:sz w:val="22"/>
            <w:szCs w:val="22"/>
          </w:rPr>
          <w:tab/>
        </w:r>
        <w:r w:rsidR="00D47027" w:rsidRPr="00AB5C96">
          <w:rPr>
            <w:rStyle w:val="Hyperlink"/>
            <w:noProof/>
          </w:rPr>
          <w:t>Vederlag for Indledende Ydelser</w:t>
        </w:r>
        <w:r w:rsidR="00D47027">
          <w:rPr>
            <w:noProof/>
            <w:webHidden/>
          </w:rPr>
          <w:tab/>
        </w:r>
        <w:r w:rsidR="00D47027">
          <w:rPr>
            <w:noProof/>
            <w:webHidden/>
          </w:rPr>
          <w:fldChar w:fldCharType="begin"/>
        </w:r>
        <w:r w:rsidR="00D47027">
          <w:rPr>
            <w:noProof/>
            <w:webHidden/>
          </w:rPr>
          <w:instrText xml:space="preserve"> PAGEREF _Toc517163813 \h </w:instrText>
        </w:r>
        <w:r w:rsidR="00D47027">
          <w:rPr>
            <w:noProof/>
            <w:webHidden/>
          </w:rPr>
        </w:r>
        <w:r w:rsidR="00D47027">
          <w:rPr>
            <w:noProof/>
            <w:webHidden/>
          </w:rPr>
          <w:fldChar w:fldCharType="separate"/>
        </w:r>
        <w:r w:rsidR="00E063CF">
          <w:rPr>
            <w:noProof/>
            <w:webHidden/>
          </w:rPr>
          <w:t>5</w:t>
        </w:r>
        <w:r w:rsidR="00D47027">
          <w:rPr>
            <w:noProof/>
            <w:webHidden/>
          </w:rPr>
          <w:fldChar w:fldCharType="end"/>
        </w:r>
      </w:hyperlink>
    </w:p>
    <w:p w14:paraId="19FA4CEE" w14:textId="554B9BD1" w:rsidR="00D47027" w:rsidRDefault="00F67D91">
      <w:pPr>
        <w:pStyle w:val="Indholdsfortegnelse1"/>
        <w:rPr>
          <w:rFonts w:asciiTheme="minorHAnsi" w:eastAsiaTheme="minorEastAsia" w:hAnsiTheme="minorHAnsi" w:cstheme="minorBidi"/>
          <w:bCs w:val="0"/>
          <w:caps w:val="0"/>
          <w:noProof/>
          <w:sz w:val="22"/>
          <w:szCs w:val="22"/>
        </w:rPr>
      </w:pPr>
      <w:hyperlink w:anchor="_Toc517163814" w:history="1">
        <w:r w:rsidR="00D47027" w:rsidRPr="00AB5C96">
          <w:rPr>
            <w:rStyle w:val="Hyperlink"/>
            <w:noProof/>
          </w:rPr>
          <w:t>3.</w:t>
        </w:r>
        <w:r w:rsidR="00D47027">
          <w:rPr>
            <w:rFonts w:asciiTheme="minorHAnsi" w:eastAsiaTheme="minorEastAsia" w:hAnsiTheme="minorHAnsi" w:cstheme="minorBidi"/>
            <w:bCs w:val="0"/>
            <w:caps w:val="0"/>
            <w:noProof/>
            <w:sz w:val="22"/>
            <w:szCs w:val="22"/>
          </w:rPr>
          <w:tab/>
        </w:r>
        <w:r w:rsidR="00D47027" w:rsidRPr="00AB5C96">
          <w:rPr>
            <w:rStyle w:val="Hyperlink"/>
            <w:noProof/>
          </w:rPr>
          <w:t>Vederlag for Løbende Ydelser</w:t>
        </w:r>
        <w:r w:rsidR="00D47027">
          <w:rPr>
            <w:noProof/>
            <w:webHidden/>
          </w:rPr>
          <w:tab/>
        </w:r>
        <w:r w:rsidR="00D47027">
          <w:rPr>
            <w:noProof/>
            <w:webHidden/>
          </w:rPr>
          <w:fldChar w:fldCharType="begin"/>
        </w:r>
        <w:r w:rsidR="00D47027">
          <w:rPr>
            <w:noProof/>
            <w:webHidden/>
          </w:rPr>
          <w:instrText xml:space="preserve"> PAGEREF _Toc517163814 \h </w:instrText>
        </w:r>
        <w:r w:rsidR="00D47027">
          <w:rPr>
            <w:noProof/>
            <w:webHidden/>
          </w:rPr>
        </w:r>
        <w:r w:rsidR="00D47027">
          <w:rPr>
            <w:noProof/>
            <w:webHidden/>
          </w:rPr>
          <w:fldChar w:fldCharType="separate"/>
        </w:r>
        <w:r w:rsidR="00E063CF">
          <w:rPr>
            <w:noProof/>
            <w:webHidden/>
          </w:rPr>
          <w:t>5</w:t>
        </w:r>
        <w:r w:rsidR="00D47027">
          <w:rPr>
            <w:noProof/>
            <w:webHidden/>
          </w:rPr>
          <w:fldChar w:fldCharType="end"/>
        </w:r>
      </w:hyperlink>
    </w:p>
    <w:p w14:paraId="3265FF8F" w14:textId="7857D7E1" w:rsidR="00D47027" w:rsidRDefault="00F67D91">
      <w:pPr>
        <w:pStyle w:val="Indholdsfortegnelse2"/>
        <w:rPr>
          <w:rFonts w:asciiTheme="minorHAnsi" w:eastAsiaTheme="minorEastAsia" w:hAnsiTheme="minorHAnsi" w:cstheme="minorBidi"/>
          <w:bCs w:val="0"/>
          <w:sz w:val="22"/>
          <w:szCs w:val="22"/>
        </w:rPr>
      </w:pPr>
      <w:hyperlink w:anchor="_Toc517163815" w:history="1">
        <w:r w:rsidR="00D47027" w:rsidRPr="00AB5C96">
          <w:rPr>
            <w:rStyle w:val="Hyperlink"/>
          </w:rPr>
          <w:t>3.1</w:t>
        </w:r>
        <w:r w:rsidR="00D47027">
          <w:rPr>
            <w:rFonts w:asciiTheme="minorHAnsi" w:eastAsiaTheme="minorEastAsia" w:hAnsiTheme="minorHAnsi" w:cstheme="minorBidi"/>
            <w:bCs w:val="0"/>
            <w:sz w:val="22"/>
            <w:szCs w:val="22"/>
          </w:rPr>
          <w:tab/>
        </w:r>
        <w:r w:rsidR="00D47027" w:rsidRPr="00AB5C96">
          <w:rPr>
            <w:rStyle w:val="Hyperlink"/>
          </w:rPr>
          <w:t>Vederlag for Enhedsadministration</w:t>
        </w:r>
        <w:r w:rsidR="00D47027">
          <w:rPr>
            <w:webHidden/>
          </w:rPr>
          <w:tab/>
        </w:r>
        <w:r w:rsidR="00D47027">
          <w:rPr>
            <w:webHidden/>
          </w:rPr>
          <w:fldChar w:fldCharType="begin"/>
        </w:r>
        <w:r w:rsidR="00D47027">
          <w:rPr>
            <w:webHidden/>
          </w:rPr>
          <w:instrText xml:space="preserve"> PAGEREF _Toc517163815 \h </w:instrText>
        </w:r>
        <w:r w:rsidR="00D47027">
          <w:rPr>
            <w:webHidden/>
          </w:rPr>
        </w:r>
        <w:r w:rsidR="00D47027">
          <w:rPr>
            <w:webHidden/>
          </w:rPr>
          <w:fldChar w:fldCharType="separate"/>
        </w:r>
        <w:r w:rsidR="00E063CF">
          <w:rPr>
            <w:webHidden/>
          </w:rPr>
          <w:t>5</w:t>
        </w:r>
        <w:r w:rsidR="00D47027">
          <w:rPr>
            <w:webHidden/>
          </w:rPr>
          <w:fldChar w:fldCharType="end"/>
        </w:r>
      </w:hyperlink>
    </w:p>
    <w:p w14:paraId="0E09D42A" w14:textId="293462D1" w:rsidR="00D47027" w:rsidRDefault="00F67D91">
      <w:pPr>
        <w:pStyle w:val="Indholdsfortegnelse2"/>
        <w:rPr>
          <w:rFonts w:asciiTheme="minorHAnsi" w:eastAsiaTheme="minorEastAsia" w:hAnsiTheme="minorHAnsi" w:cstheme="minorBidi"/>
          <w:bCs w:val="0"/>
          <w:sz w:val="22"/>
          <w:szCs w:val="22"/>
        </w:rPr>
      </w:pPr>
      <w:hyperlink w:anchor="_Toc517163816" w:history="1">
        <w:r w:rsidR="00D47027" w:rsidRPr="00AB5C96">
          <w:rPr>
            <w:rStyle w:val="Hyperlink"/>
          </w:rPr>
          <w:t>3.2</w:t>
        </w:r>
        <w:r w:rsidR="00D47027">
          <w:rPr>
            <w:rFonts w:asciiTheme="minorHAnsi" w:eastAsiaTheme="minorEastAsia" w:hAnsiTheme="minorHAnsi" w:cstheme="minorBidi"/>
            <w:bCs w:val="0"/>
            <w:sz w:val="22"/>
            <w:szCs w:val="22"/>
          </w:rPr>
          <w:tab/>
        </w:r>
        <w:r w:rsidR="00D47027" w:rsidRPr="00AB5C96">
          <w:rPr>
            <w:rStyle w:val="Hyperlink"/>
          </w:rPr>
          <w:t>Vederlag for Support</w:t>
        </w:r>
        <w:r w:rsidR="00D47027">
          <w:rPr>
            <w:webHidden/>
          </w:rPr>
          <w:tab/>
        </w:r>
        <w:r w:rsidR="00D47027">
          <w:rPr>
            <w:webHidden/>
          </w:rPr>
          <w:fldChar w:fldCharType="begin"/>
        </w:r>
        <w:r w:rsidR="00D47027">
          <w:rPr>
            <w:webHidden/>
          </w:rPr>
          <w:instrText xml:space="preserve"> PAGEREF _Toc517163816 \h </w:instrText>
        </w:r>
        <w:r w:rsidR="00D47027">
          <w:rPr>
            <w:webHidden/>
          </w:rPr>
        </w:r>
        <w:r w:rsidR="00D47027">
          <w:rPr>
            <w:webHidden/>
          </w:rPr>
          <w:fldChar w:fldCharType="separate"/>
        </w:r>
        <w:r w:rsidR="00E063CF">
          <w:rPr>
            <w:webHidden/>
          </w:rPr>
          <w:t>5</w:t>
        </w:r>
        <w:r w:rsidR="00D47027">
          <w:rPr>
            <w:webHidden/>
          </w:rPr>
          <w:fldChar w:fldCharType="end"/>
        </w:r>
      </w:hyperlink>
    </w:p>
    <w:p w14:paraId="2A1D001D" w14:textId="286F974A" w:rsidR="00D47027" w:rsidRDefault="00F67D91">
      <w:pPr>
        <w:pStyle w:val="Indholdsfortegnelse2"/>
        <w:rPr>
          <w:rFonts w:asciiTheme="minorHAnsi" w:eastAsiaTheme="minorEastAsia" w:hAnsiTheme="minorHAnsi" w:cstheme="minorBidi"/>
          <w:bCs w:val="0"/>
          <w:sz w:val="22"/>
          <w:szCs w:val="22"/>
        </w:rPr>
      </w:pPr>
      <w:hyperlink w:anchor="_Toc517163817" w:history="1">
        <w:r w:rsidR="00D47027" w:rsidRPr="00AB5C96">
          <w:rPr>
            <w:rStyle w:val="Hyperlink"/>
          </w:rPr>
          <w:t>3.3</w:t>
        </w:r>
        <w:r w:rsidR="00D47027">
          <w:rPr>
            <w:rFonts w:asciiTheme="minorHAnsi" w:eastAsiaTheme="minorEastAsia" w:hAnsiTheme="minorHAnsi" w:cstheme="minorBidi"/>
            <w:bCs w:val="0"/>
            <w:sz w:val="22"/>
            <w:szCs w:val="22"/>
          </w:rPr>
          <w:tab/>
        </w:r>
        <w:r w:rsidR="00D47027" w:rsidRPr="00AB5C96">
          <w:rPr>
            <w:rStyle w:val="Hyperlink"/>
          </w:rPr>
          <w:t>Vederlag for Applikationsdrift</w:t>
        </w:r>
        <w:r w:rsidR="00D47027">
          <w:rPr>
            <w:webHidden/>
          </w:rPr>
          <w:tab/>
        </w:r>
        <w:r w:rsidR="00D47027">
          <w:rPr>
            <w:webHidden/>
          </w:rPr>
          <w:fldChar w:fldCharType="begin"/>
        </w:r>
        <w:r w:rsidR="00D47027">
          <w:rPr>
            <w:webHidden/>
          </w:rPr>
          <w:instrText xml:space="preserve"> PAGEREF _Toc517163817 \h </w:instrText>
        </w:r>
        <w:r w:rsidR="00D47027">
          <w:rPr>
            <w:webHidden/>
          </w:rPr>
        </w:r>
        <w:r w:rsidR="00D47027">
          <w:rPr>
            <w:webHidden/>
          </w:rPr>
          <w:fldChar w:fldCharType="separate"/>
        </w:r>
        <w:r w:rsidR="00E063CF">
          <w:rPr>
            <w:webHidden/>
          </w:rPr>
          <w:t>5</w:t>
        </w:r>
        <w:r w:rsidR="00D47027">
          <w:rPr>
            <w:webHidden/>
          </w:rPr>
          <w:fldChar w:fldCharType="end"/>
        </w:r>
      </w:hyperlink>
    </w:p>
    <w:p w14:paraId="359A1C7F" w14:textId="47DBD4B0" w:rsidR="00D47027" w:rsidRDefault="00F67D91">
      <w:pPr>
        <w:pStyle w:val="Indholdsfortegnelse2"/>
        <w:rPr>
          <w:rFonts w:asciiTheme="minorHAnsi" w:eastAsiaTheme="minorEastAsia" w:hAnsiTheme="minorHAnsi" w:cstheme="minorBidi"/>
          <w:bCs w:val="0"/>
          <w:sz w:val="22"/>
          <w:szCs w:val="22"/>
        </w:rPr>
      </w:pPr>
      <w:hyperlink w:anchor="_Toc517163818" w:history="1">
        <w:r w:rsidR="00D47027" w:rsidRPr="00AB5C96">
          <w:rPr>
            <w:rStyle w:val="Hyperlink"/>
          </w:rPr>
          <w:t>3.4</w:t>
        </w:r>
        <w:r w:rsidR="00D47027">
          <w:rPr>
            <w:rFonts w:asciiTheme="minorHAnsi" w:eastAsiaTheme="minorEastAsia" w:hAnsiTheme="minorHAnsi" w:cstheme="minorBidi"/>
            <w:bCs w:val="0"/>
            <w:sz w:val="22"/>
            <w:szCs w:val="22"/>
          </w:rPr>
          <w:tab/>
        </w:r>
        <w:r w:rsidR="00D47027" w:rsidRPr="00AB5C96">
          <w:rPr>
            <w:rStyle w:val="Hyperlink"/>
          </w:rPr>
          <w:t>Vederlag for Infrastrukturdrift</w:t>
        </w:r>
        <w:r w:rsidR="00D47027">
          <w:rPr>
            <w:webHidden/>
          </w:rPr>
          <w:tab/>
        </w:r>
        <w:r w:rsidR="00D47027">
          <w:rPr>
            <w:webHidden/>
          </w:rPr>
          <w:fldChar w:fldCharType="begin"/>
        </w:r>
        <w:r w:rsidR="00D47027">
          <w:rPr>
            <w:webHidden/>
          </w:rPr>
          <w:instrText xml:space="preserve"> PAGEREF _Toc517163818 \h </w:instrText>
        </w:r>
        <w:r w:rsidR="00D47027">
          <w:rPr>
            <w:webHidden/>
          </w:rPr>
        </w:r>
        <w:r w:rsidR="00D47027">
          <w:rPr>
            <w:webHidden/>
          </w:rPr>
          <w:fldChar w:fldCharType="separate"/>
        </w:r>
        <w:r w:rsidR="00E063CF">
          <w:rPr>
            <w:webHidden/>
          </w:rPr>
          <w:t>6</w:t>
        </w:r>
        <w:r w:rsidR="00D47027">
          <w:rPr>
            <w:webHidden/>
          </w:rPr>
          <w:fldChar w:fldCharType="end"/>
        </w:r>
      </w:hyperlink>
    </w:p>
    <w:p w14:paraId="7444044F" w14:textId="2B600B19" w:rsidR="00D47027" w:rsidRDefault="00F67D91">
      <w:pPr>
        <w:pStyle w:val="Indholdsfortegnelse2"/>
        <w:rPr>
          <w:rFonts w:asciiTheme="minorHAnsi" w:eastAsiaTheme="minorEastAsia" w:hAnsiTheme="minorHAnsi" w:cstheme="minorBidi"/>
          <w:bCs w:val="0"/>
          <w:sz w:val="22"/>
          <w:szCs w:val="22"/>
        </w:rPr>
      </w:pPr>
      <w:hyperlink w:anchor="_Toc517163819" w:history="1">
        <w:r w:rsidR="00D47027" w:rsidRPr="00AB5C96">
          <w:rPr>
            <w:rStyle w:val="Hyperlink"/>
          </w:rPr>
          <w:t>3.5</w:t>
        </w:r>
        <w:r w:rsidR="00D47027">
          <w:rPr>
            <w:rFonts w:asciiTheme="minorHAnsi" w:eastAsiaTheme="minorEastAsia" w:hAnsiTheme="minorHAnsi" w:cstheme="minorBidi"/>
            <w:bCs w:val="0"/>
            <w:sz w:val="22"/>
            <w:szCs w:val="22"/>
          </w:rPr>
          <w:tab/>
        </w:r>
        <w:r w:rsidR="00D47027" w:rsidRPr="00AB5C96">
          <w:rPr>
            <w:rStyle w:val="Hyperlink"/>
          </w:rPr>
          <w:t>Vederlag for Datacenterdrift</w:t>
        </w:r>
        <w:r w:rsidR="00D47027">
          <w:rPr>
            <w:webHidden/>
          </w:rPr>
          <w:tab/>
        </w:r>
        <w:r w:rsidR="00D47027">
          <w:rPr>
            <w:webHidden/>
          </w:rPr>
          <w:fldChar w:fldCharType="begin"/>
        </w:r>
        <w:r w:rsidR="00D47027">
          <w:rPr>
            <w:webHidden/>
          </w:rPr>
          <w:instrText xml:space="preserve"> PAGEREF _Toc517163819 \h </w:instrText>
        </w:r>
        <w:r w:rsidR="00D47027">
          <w:rPr>
            <w:webHidden/>
          </w:rPr>
        </w:r>
        <w:r w:rsidR="00D47027">
          <w:rPr>
            <w:webHidden/>
          </w:rPr>
          <w:fldChar w:fldCharType="separate"/>
        </w:r>
        <w:r w:rsidR="00E063CF">
          <w:rPr>
            <w:webHidden/>
          </w:rPr>
          <w:t>6</w:t>
        </w:r>
        <w:r w:rsidR="00D47027">
          <w:rPr>
            <w:webHidden/>
          </w:rPr>
          <w:fldChar w:fldCharType="end"/>
        </w:r>
      </w:hyperlink>
    </w:p>
    <w:p w14:paraId="7066322C" w14:textId="1268E93F" w:rsidR="00D47027" w:rsidRDefault="00F67D91">
      <w:pPr>
        <w:pStyle w:val="Indholdsfortegnelse2"/>
        <w:rPr>
          <w:rFonts w:asciiTheme="minorHAnsi" w:eastAsiaTheme="minorEastAsia" w:hAnsiTheme="minorHAnsi" w:cstheme="minorBidi"/>
          <w:bCs w:val="0"/>
          <w:sz w:val="22"/>
          <w:szCs w:val="22"/>
        </w:rPr>
      </w:pPr>
      <w:hyperlink w:anchor="_Toc517163820" w:history="1">
        <w:r w:rsidR="00D47027" w:rsidRPr="00AB5C96">
          <w:rPr>
            <w:rStyle w:val="Hyperlink"/>
          </w:rPr>
          <w:t>3.6</w:t>
        </w:r>
        <w:r w:rsidR="00D47027">
          <w:rPr>
            <w:rFonts w:asciiTheme="minorHAnsi" w:eastAsiaTheme="minorEastAsia" w:hAnsiTheme="minorHAnsi" w:cstheme="minorBidi"/>
            <w:bCs w:val="0"/>
            <w:sz w:val="22"/>
            <w:szCs w:val="22"/>
          </w:rPr>
          <w:tab/>
        </w:r>
        <w:r w:rsidR="00D47027" w:rsidRPr="00AB5C96">
          <w:rPr>
            <w:rStyle w:val="Hyperlink"/>
          </w:rPr>
          <w:t>Vederlag for Netværksdrift</w:t>
        </w:r>
        <w:r w:rsidR="00D47027">
          <w:rPr>
            <w:webHidden/>
          </w:rPr>
          <w:tab/>
        </w:r>
        <w:r w:rsidR="00D47027">
          <w:rPr>
            <w:webHidden/>
          </w:rPr>
          <w:fldChar w:fldCharType="begin"/>
        </w:r>
        <w:r w:rsidR="00D47027">
          <w:rPr>
            <w:webHidden/>
          </w:rPr>
          <w:instrText xml:space="preserve"> PAGEREF _Toc517163820 \h </w:instrText>
        </w:r>
        <w:r w:rsidR="00D47027">
          <w:rPr>
            <w:webHidden/>
          </w:rPr>
        </w:r>
        <w:r w:rsidR="00D47027">
          <w:rPr>
            <w:webHidden/>
          </w:rPr>
          <w:fldChar w:fldCharType="separate"/>
        </w:r>
        <w:r w:rsidR="00E063CF">
          <w:rPr>
            <w:webHidden/>
          </w:rPr>
          <w:t>6</w:t>
        </w:r>
        <w:r w:rsidR="00D47027">
          <w:rPr>
            <w:webHidden/>
          </w:rPr>
          <w:fldChar w:fldCharType="end"/>
        </w:r>
      </w:hyperlink>
    </w:p>
    <w:p w14:paraId="1B9FBC58" w14:textId="7B016508" w:rsidR="00D47027" w:rsidRDefault="00F67D91">
      <w:pPr>
        <w:pStyle w:val="Indholdsfortegnelse2"/>
        <w:rPr>
          <w:rFonts w:asciiTheme="minorHAnsi" w:eastAsiaTheme="minorEastAsia" w:hAnsiTheme="minorHAnsi" w:cstheme="minorBidi"/>
          <w:bCs w:val="0"/>
          <w:sz w:val="22"/>
          <w:szCs w:val="22"/>
        </w:rPr>
      </w:pPr>
      <w:hyperlink w:anchor="_Toc517163821" w:history="1">
        <w:r w:rsidR="00D47027" w:rsidRPr="00AB5C96">
          <w:rPr>
            <w:rStyle w:val="Hyperlink"/>
          </w:rPr>
          <w:t>3.7</w:t>
        </w:r>
        <w:r w:rsidR="00D47027">
          <w:rPr>
            <w:rFonts w:asciiTheme="minorHAnsi" w:eastAsiaTheme="minorEastAsia" w:hAnsiTheme="minorHAnsi" w:cstheme="minorBidi"/>
            <w:bCs w:val="0"/>
            <w:sz w:val="22"/>
            <w:szCs w:val="22"/>
          </w:rPr>
          <w:tab/>
        </w:r>
        <w:r w:rsidR="00D47027" w:rsidRPr="00AB5C96">
          <w:rPr>
            <w:rStyle w:val="Hyperlink"/>
          </w:rPr>
          <w:t>Skalering af vederlag for Løbende Ydelser</w:t>
        </w:r>
        <w:r w:rsidR="00D47027">
          <w:rPr>
            <w:webHidden/>
          </w:rPr>
          <w:tab/>
        </w:r>
        <w:r w:rsidR="00D47027">
          <w:rPr>
            <w:webHidden/>
          </w:rPr>
          <w:fldChar w:fldCharType="begin"/>
        </w:r>
        <w:r w:rsidR="00D47027">
          <w:rPr>
            <w:webHidden/>
          </w:rPr>
          <w:instrText xml:space="preserve"> PAGEREF _Toc517163821 \h </w:instrText>
        </w:r>
        <w:r w:rsidR="00D47027">
          <w:rPr>
            <w:webHidden/>
          </w:rPr>
        </w:r>
        <w:r w:rsidR="00D47027">
          <w:rPr>
            <w:webHidden/>
          </w:rPr>
          <w:fldChar w:fldCharType="separate"/>
        </w:r>
        <w:r w:rsidR="00E063CF">
          <w:rPr>
            <w:webHidden/>
          </w:rPr>
          <w:t>6</w:t>
        </w:r>
        <w:r w:rsidR="00D47027">
          <w:rPr>
            <w:webHidden/>
          </w:rPr>
          <w:fldChar w:fldCharType="end"/>
        </w:r>
      </w:hyperlink>
    </w:p>
    <w:p w14:paraId="5A094745" w14:textId="005844A7" w:rsidR="00D47027" w:rsidRDefault="00F67D91">
      <w:pPr>
        <w:pStyle w:val="Indholdsfortegnelse1"/>
        <w:rPr>
          <w:rFonts w:asciiTheme="minorHAnsi" w:eastAsiaTheme="minorEastAsia" w:hAnsiTheme="minorHAnsi" w:cstheme="minorBidi"/>
          <w:bCs w:val="0"/>
          <w:caps w:val="0"/>
          <w:noProof/>
          <w:sz w:val="22"/>
          <w:szCs w:val="22"/>
        </w:rPr>
      </w:pPr>
      <w:hyperlink w:anchor="_Toc517163822" w:history="1">
        <w:r w:rsidR="00D47027" w:rsidRPr="00AB5C96">
          <w:rPr>
            <w:rStyle w:val="Hyperlink"/>
            <w:noProof/>
          </w:rPr>
          <w:t>4.</w:t>
        </w:r>
        <w:r w:rsidR="00D47027">
          <w:rPr>
            <w:rFonts w:asciiTheme="minorHAnsi" w:eastAsiaTheme="minorEastAsia" w:hAnsiTheme="minorHAnsi" w:cstheme="minorBidi"/>
            <w:bCs w:val="0"/>
            <w:caps w:val="0"/>
            <w:noProof/>
            <w:sz w:val="22"/>
            <w:szCs w:val="22"/>
          </w:rPr>
          <w:tab/>
        </w:r>
        <w:r w:rsidR="00D47027" w:rsidRPr="00AB5C96">
          <w:rPr>
            <w:rStyle w:val="Hyperlink"/>
            <w:noProof/>
          </w:rPr>
          <w:t>Vederlag for Bestillingsydelser</w:t>
        </w:r>
        <w:r w:rsidR="00D47027">
          <w:rPr>
            <w:noProof/>
            <w:webHidden/>
          </w:rPr>
          <w:tab/>
        </w:r>
        <w:r w:rsidR="00D47027">
          <w:rPr>
            <w:noProof/>
            <w:webHidden/>
          </w:rPr>
          <w:fldChar w:fldCharType="begin"/>
        </w:r>
        <w:r w:rsidR="00D47027">
          <w:rPr>
            <w:noProof/>
            <w:webHidden/>
          </w:rPr>
          <w:instrText xml:space="preserve"> PAGEREF _Toc517163822 \h </w:instrText>
        </w:r>
        <w:r w:rsidR="00D47027">
          <w:rPr>
            <w:noProof/>
            <w:webHidden/>
          </w:rPr>
        </w:r>
        <w:r w:rsidR="00D47027">
          <w:rPr>
            <w:noProof/>
            <w:webHidden/>
          </w:rPr>
          <w:fldChar w:fldCharType="separate"/>
        </w:r>
        <w:r w:rsidR="00E063CF">
          <w:rPr>
            <w:noProof/>
            <w:webHidden/>
          </w:rPr>
          <w:t>6</w:t>
        </w:r>
        <w:r w:rsidR="00D47027">
          <w:rPr>
            <w:noProof/>
            <w:webHidden/>
          </w:rPr>
          <w:fldChar w:fldCharType="end"/>
        </w:r>
      </w:hyperlink>
    </w:p>
    <w:p w14:paraId="310010F6" w14:textId="3ABC6BF2" w:rsidR="00D47027" w:rsidRDefault="00F67D91">
      <w:pPr>
        <w:pStyle w:val="Indholdsfortegnelse2"/>
        <w:rPr>
          <w:rFonts w:asciiTheme="minorHAnsi" w:eastAsiaTheme="minorEastAsia" w:hAnsiTheme="minorHAnsi" w:cstheme="minorBidi"/>
          <w:bCs w:val="0"/>
          <w:sz w:val="22"/>
          <w:szCs w:val="22"/>
        </w:rPr>
      </w:pPr>
      <w:hyperlink w:anchor="_Toc517163823" w:history="1">
        <w:r w:rsidR="00D47027" w:rsidRPr="00AB5C96">
          <w:rPr>
            <w:rStyle w:val="Hyperlink"/>
          </w:rPr>
          <w:t>4.1</w:t>
        </w:r>
        <w:r w:rsidR="00D47027">
          <w:rPr>
            <w:rFonts w:asciiTheme="minorHAnsi" w:eastAsiaTheme="minorEastAsia" w:hAnsiTheme="minorHAnsi" w:cstheme="minorBidi"/>
            <w:bCs w:val="0"/>
            <w:sz w:val="22"/>
            <w:szCs w:val="22"/>
          </w:rPr>
          <w:tab/>
        </w:r>
        <w:r w:rsidR="00D47027" w:rsidRPr="00AB5C96">
          <w:rPr>
            <w:rStyle w:val="Hyperlink"/>
          </w:rPr>
          <w:t>Vederlag for Standardbestillingsydelser</w:t>
        </w:r>
        <w:r w:rsidR="00D47027">
          <w:rPr>
            <w:webHidden/>
          </w:rPr>
          <w:tab/>
        </w:r>
        <w:r w:rsidR="00D47027">
          <w:rPr>
            <w:webHidden/>
          </w:rPr>
          <w:fldChar w:fldCharType="begin"/>
        </w:r>
        <w:r w:rsidR="00D47027">
          <w:rPr>
            <w:webHidden/>
          </w:rPr>
          <w:instrText xml:space="preserve"> PAGEREF _Toc517163823 \h </w:instrText>
        </w:r>
        <w:r w:rsidR="00D47027">
          <w:rPr>
            <w:webHidden/>
          </w:rPr>
        </w:r>
        <w:r w:rsidR="00D47027">
          <w:rPr>
            <w:webHidden/>
          </w:rPr>
          <w:fldChar w:fldCharType="separate"/>
        </w:r>
        <w:r w:rsidR="00E063CF">
          <w:rPr>
            <w:webHidden/>
          </w:rPr>
          <w:t>6</w:t>
        </w:r>
        <w:r w:rsidR="00D47027">
          <w:rPr>
            <w:webHidden/>
          </w:rPr>
          <w:fldChar w:fldCharType="end"/>
        </w:r>
      </w:hyperlink>
    </w:p>
    <w:p w14:paraId="6A97809C" w14:textId="542D0A8F" w:rsidR="00D47027" w:rsidRDefault="00F67D91">
      <w:pPr>
        <w:pStyle w:val="Indholdsfortegnelse2"/>
        <w:rPr>
          <w:rFonts w:asciiTheme="minorHAnsi" w:eastAsiaTheme="minorEastAsia" w:hAnsiTheme="minorHAnsi" w:cstheme="minorBidi"/>
          <w:bCs w:val="0"/>
          <w:sz w:val="22"/>
          <w:szCs w:val="22"/>
        </w:rPr>
      </w:pPr>
      <w:hyperlink w:anchor="_Toc517163824" w:history="1">
        <w:r w:rsidR="00D47027" w:rsidRPr="00AB5C96">
          <w:rPr>
            <w:rStyle w:val="Hyperlink"/>
          </w:rPr>
          <w:t>4.2</w:t>
        </w:r>
        <w:r w:rsidR="00D47027">
          <w:rPr>
            <w:rFonts w:asciiTheme="minorHAnsi" w:eastAsiaTheme="minorEastAsia" w:hAnsiTheme="minorHAnsi" w:cstheme="minorBidi"/>
            <w:bCs w:val="0"/>
            <w:sz w:val="22"/>
            <w:szCs w:val="22"/>
          </w:rPr>
          <w:tab/>
        </w:r>
        <w:r w:rsidR="00D47027" w:rsidRPr="00AB5C96">
          <w:rPr>
            <w:rStyle w:val="Hyperlink"/>
          </w:rPr>
          <w:t>Vederlag for Konsulentydelser</w:t>
        </w:r>
        <w:r w:rsidR="00D47027">
          <w:rPr>
            <w:webHidden/>
          </w:rPr>
          <w:tab/>
        </w:r>
        <w:r w:rsidR="00D47027">
          <w:rPr>
            <w:webHidden/>
          </w:rPr>
          <w:fldChar w:fldCharType="begin"/>
        </w:r>
        <w:r w:rsidR="00D47027">
          <w:rPr>
            <w:webHidden/>
          </w:rPr>
          <w:instrText xml:space="preserve"> PAGEREF _Toc517163824 \h </w:instrText>
        </w:r>
        <w:r w:rsidR="00D47027">
          <w:rPr>
            <w:webHidden/>
          </w:rPr>
        </w:r>
        <w:r w:rsidR="00D47027">
          <w:rPr>
            <w:webHidden/>
          </w:rPr>
          <w:fldChar w:fldCharType="separate"/>
        </w:r>
        <w:r w:rsidR="00E063CF">
          <w:rPr>
            <w:webHidden/>
          </w:rPr>
          <w:t>6</w:t>
        </w:r>
        <w:r w:rsidR="00D47027">
          <w:rPr>
            <w:webHidden/>
          </w:rPr>
          <w:fldChar w:fldCharType="end"/>
        </w:r>
      </w:hyperlink>
    </w:p>
    <w:p w14:paraId="512DD94E" w14:textId="5E8B1227" w:rsidR="00D47027" w:rsidRDefault="00F67D91">
      <w:pPr>
        <w:pStyle w:val="Indholdsfortegnelse2"/>
        <w:rPr>
          <w:rFonts w:asciiTheme="minorHAnsi" w:eastAsiaTheme="minorEastAsia" w:hAnsiTheme="minorHAnsi" w:cstheme="minorBidi"/>
          <w:bCs w:val="0"/>
          <w:sz w:val="22"/>
          <w:szCs w:val="22"/>
        </w:rPr>
      </w:pPr>
      <w:hyperlink w:anchor="_Toc517163825" w:history="1">
        <w:r w:rsidR="00D47027" w:rsidRPr="00AB5C96">
          <w:rPr>
            <w:rStyle w:val="Hyperlink"/>
          </w:rPr>
          <w:t>4.3</w:t>
        </w:r>
        <w:r w:rsidR="00D47027">
          <w:rPr>
            <w:rFonts w:asciiTheme="minorHAnsi" w:eastAsiaTheme="minorEastAsia" w:hAnsiTheme="minorHAnsi" w:cstheme="minorBidi"/>
            <w:bCs w:val="0"/>
            <w:sz w:val="22"/>
            <w:szCs w:val="22"/>
          </w:rPr>
          <w:tab/>
        </w:r>
        <w:r w:rsidR="00D47027" w:rsidRPr="00AB5C96">
          <w:rPr>
            <w:rStyle w:val="Hyperlink"/>
          </w:rPr>
          <w:t>Vederlag for Optioner</w:t>
        </w:r>
        <w:r w:rsidR="00D47027">
          <w:rPr>
            <w:webHidden/>
          </w:rPr>
          <w:tab/>
        </w:r>
        <w:r w:rsidR="00D47027">
          <w:rPr>
            <w:webHidden/>
          </w:rPr>
          <w:fldChar w:fldCharType="begin"/>
        </w:r>
        <w:r w:rsidR="00D47027">
          <w:rPr>
            <w:webHidden/>
          </w:rPr>
          <w:instrText xml:space="preserve"> PAGEREF _Toc517163825 \h </w:instrText>
        </w:r>
        <w:r w:rsidR="00D47027">
          <w:rPr>
            <w:webHidden/>
          </w:rPr>
        </w:r>
        <w:r w:rsidR="00D47027">
          <w:rPr>
            <w:webHidden/>
          </w:rPr>
          <w:fldChar w:fldCharType="separate"/>
        </w:r>
        <w:r w:rsidR="00E063CF">
          <w:rPr>
            <w:webHidden/>
          </w:rPr>
          <w:t>7</w:t>
        </w:r>
        <w:r w:rsidR="00D47027">
          <w:rPr>
            <w:webHidden/>
          </w:rPr>
          <w:fldChar w:fldCharType="end"/>
        </w:r>
      </w:hyperlink>
    </w:p>
    <w:p w14:paraId="66F6701B" w14:textId="0DCD1E3F" w:rsidR="00D47027" w:rsidRDefault="00F67D91">
      <w:pPr>
        <w:pStyle w:val="Indholdsfortegnelse1"/>
        <w:rPr>
          <w:rFonts w:asciiTheme="minorHAnsi" w:eastAsiaTheme="minorEastAsia" w:hAnsiTheme="minorHAnsi" w:cstheme="minorBidi"/>
          <w:bCs w:val="0"/>
          <w:caps w:val="0"/>
          <w:noProof/>
          <w:sz w:val="22"/>
          <w:szCs w:val="22"/>
        </w:rPr>
      </w:pPr>
      <w:hyperlink w:anchor="_Toc517163826" w:history="1">
        <w:r w:rsidR="00D47027" w:rsidRPr="00AB5C96">
          <w:rPr>
            <w:rStyle w:val="Hyperlink"/>
            <w:noProof/>
          </w:rPr>
          <w:t>5.</w:t>
        </w:r>
        <w:r w:rsidR="00D47027">
          <w:rPr>
            <w:rFonts w:asciiTheme="minorHAnsi" w:eastAsiaTheme="minorEastAsia" w:hAnsiTheme="minorHAnsi" w:cstheme="minorBidi"/>
            <w:bCs w:val="0"/>
            <w:caps w:val="0"/>
            <w:noProof/>
            <w:sz w:val="22"/>
            <w:szCs w:val="22"/>
          </w:rPr>
          <w:tab/>
        </w:r>
        <w:r w:rsidR="00D47027" w:rsidRPr="00AB5C96">
          <w:rPr>
            <w:rStyle w:val="Hyperlink"/>
            <w:noProof/>
          </w:rPr>
          <w:t>Kompensation ved Kundens opsigelse</w:t>
        </w:r>
        <w:r w:rsidR="00D47027">
          <w:rPr>
            <w:noProof/>
            <w:webHidden/>
          </w:rPr>
          <w:tab/>
        </w:r>
        <w:r w:rsidR="00D47027">
          <w:rPr>
            <w:noProof/>
            <w:webHidden/>
          </w:rPr>
          <w:fldChar w:fldCharType="begin"/>
        </w:r>
        <w:r w:rsidR="00D47027">
          <w:rPr>
            <w:noProof/>
            <w:webHidden/>
          </w:rPr>
          <w:instrText xml:space="preserve"> PAGEREF _Toc517163826 \h </w:instrText>
        </w:r>
        <w:r w:rsidR="00D47027">
          <w:rPr>
            <w:noProof/>
            <w:webHidden/>
          </w:rPr>
        </w:r>
        <w:r w:rsidR="00D47027">
          <w:rPr>
            <w:noProof/>
            <w:webHidden/>
          </w:rPr>
          <w:fldChar w:fldCharType="separate"/>
        </w:r>
        <w:r w:rsidR="00E063CF">
          <w:rPr>
            <w:noProof/>
            <w:webHidden/>
          </w:rPr>
          <w:t>7</w:t>
        </w:r>
        <w:r w:rsidR="00D47027">
          <w:rPr>
            <w:noProof/>
            <w:webHidden/>
          </w:rPr>
          <w:fldChar w:fldCharType="end"/>
        </w:r>
      </w:hyperlink>
    </w:p>
    <w:p w14:paraId="1737B5CB" w14:textId="620F6AB3" w:rsidR="00D47027" w:rsidRDefault="00F67D91">
      <w:pPr>
        <w:pStyle w:val="Indholdsfortegnelse1"/>
        <w:rPr>
          <w:rFonts w:asciiTheme="minorHAnsi" w:eastAsiaTheme="minorEastAsia" w:hAnsiTheme="minorHAnsi" w:cstheme="minorBidi"/>
          <w:bCs w:val="0"/>
          <w:caps w:val="0"/>
          <w:noProof/>
          <w:sz w:val="22"/>
          <w:szCs w:val="22"/>
        </w:rPr>
      </w:pPr>
      <w:hyperlink w:anchor="_Toc517163827" w:history="1">
        <w:r w:rsidR="00D47027" w:rsidRPr="00AB5C96">
          <w:rPr>
            <w:rStyle w:val="Hyperlink"/>
            <w:noProof/>
          </w:rPr>
          <w:t>6.</w:t>
        </w:r>
        <w:r w:rsidR="00D47027">
          <w:rPr>
            <w:rFonts w:asciiTheme="minorHAnsi" w:eastAsiaTheme="minorEastAsia" w:hAnsiTheme="minorHAnsi" w:cstheme="minorBidi"/>
            <w:bCs w:val="0"/>
            <w:caps w:val="0"/>
            <w:noProof/>
            <w:sz w:val="22"/>
            <w:szCs w:val="22"/>
          </w:rPr>
          <w:tab/>
        </w:r>
        <w:r w:rsidR="00D47027" w:rsidRPr="00AB5C96">
          <w:rPr>
            <w:rStyle w:val="Hyperlink"/>
            <w:noProof/>
          </w:rPr>
          <w:t>Fakturering</w:t>
        </w:r>
        <w:r w:rsidR="00D47027">
          <w:rPr>
            <w:noProof/>
            <w:webHidden/>
          </w:rPr>
          <w:tab/>
        </w:r>
        <w:r w:rsidR="00D47027">
          <w:rPr>
            <w:noProof/>
            <w:webHidden/>
          </w:rPr>
          <w:fldChar w:fldCharType="begin"/>
        </w:r>
        <w:r w:rsidR="00D47027">
          <w:rPr>
            <w:noProof/>
            <w:webHidden/>
          </w:rPr>
          <w:instrText xml:space="preserve"> PAGEREF _Toc517163827 \h </w:instrText>
        </w:r>
        <w:r w:rsidR="00D47027">
          <w:rPr>
            <w:noProof/>
            <w:webHidden/>
          </w:rPr>
        </w:r>
        <w:r w:rsidR="00D47027">
          <w:rPr>
            <w:noProof/>
            <w:webHidden/>
          </w:rPr>
          <w:fldChar w:fldCharType="separate"/>
        </w:r>
        <w:r w:rsidR="00E063CF">
          <w:rPr>
            <w:noProof/>
            <w:webHidden/>
          </w:rPr>
          <w:t>8</w:t>
        </w:r>
        <w:r w:rsidR="00D47027">
          <w:rPr>
            <w:noProof/>
            <w:webHidden/>
          </w:rPr>
          <w:fldChar w:fldCharType="end"/>
        </w:r>
      </w:hyperlink>
    </w:p>
    <w:p w14:paraId="4F45FB7F" w14:textId="51818C10" w:rsidR="00D47027" w:rsidRDefault="00F67D91">
      <w:pPr>
        <w:pStyle w:val="Indholdsfortegnelse2"/>
        <w:rPr>
          <w:rFonts w:asciiTheme="minorHAnsi" w:eastAsiaTheme="minorEastAsia" w:hAnsiTheme="minorHAnsi" w:cstheme="minorBidi"/>
          <w:bCs w:val="0"/>
          <w:sz w:val="22"/>
          <w:szCs w:val="22"/>
        </w:rPr>
      </w:pPr>
      <w:hyperlink w:anchor="_Toc517163828" w:history="1">
        <w:r w:rsidR="00D47027" w:rsidRPr="00AB5C96">
          <w:rPr>
            <w:rStyle w:val="Hyperlink"/>
          </w:rPr>
          <w:t>6.1</w:t>
        </w:r>
        <w:r w:rsidR="00D47027">
          <w:rPr>
            <w:rFonts w:asciiTheme="minorHAnsi" w:eastAsiaTheme="minorEastAsia" w:hAnsiTheme="minorHAnsi" w:cstheme="minorBidi"/>
            <w:bCs w:val="0"/>
            <w:sz w:val="22"/>
            <w:szCs w:val="22"/>
          </w:rPr>
          <w:tab/>
        </w:r>
        <w:r w:rsidR="00D47027" w:rsidRPr="00AB5C96">
          <w:rPr>
            <w:rStyle w:val="Hyperlink"/>
          </w:rPr>
          <w:t>Generelt</w:t>
        </w:r>
        <w:r w:rsidR="00D47027">
          <w:rPr>
            <w:webHidden/>
          </w:rPr>
          <w:tab/>
        </w:r>
        <w:r w:rsidR="00D47027">
          <w:rPr>
            <w:webHidden/>
          </w:rPr>
          <w:fldChar w:fldCharType="begin"/>
        </w:r>
        <w:r w:rsidR="00D47027">
          <w:rPr>
            <w:webHidden/>
          </w:rPr>
          <w:instrText xml:space="preserve"> PAGEREF _Toc517163828 \h </w:instrText>
        </w:r>
        <w:r w:rsidR="00D47027">
          <w:rPr>
            <w:webHidden/>
          </w:rPr>
        </w:r>
        <w:r w:rsidR="00D47027">
          <w:rPr>
            <w:webHidden/>
          </w:rPr>
          <w:fldChar w:fldCharType="separate"/>
        </w:r>
        <w:r w:rsidR="00E063CF">
          <w:rPr>
            <w:webHidden/>
          </w:rPr>
          <w:t>8</w:t>
        </w:r>
        <w:r w:rsidR="00D47027">
          <w:rPr>
            <w:webHidden/>
          </w:rPr>
          <w:fldChar w:fldCharType="end"/>
        </w:r>
      </w:hyperlink>
    </w:p>
    <w:p w14:paraId="4ACE0D4E" w14:textId="48CF3657" w:rsidR="00D47027" w:rsidRDefault="00F67D91">
      <w:pPr>
        <w:pStyle w:val="Indholdsfortegnelse1"/>
        <w:rPr>
          <w:rFonts w:asciiTheme="minorHAnsi" w:eastAsiaTheme="minorEastAsia" w:hAnsiTheme="minorHAnsi" w:cstheme="minorBidi"/>
          <w:bCs w:val="0"/>
          <w:caps w:val="0"/>
          <w:noProof/>
          <w:sz w:val="22"/>
          <w:szCs w:val="22"/>
        </w:rPr>
      </w:pPr>
      <w:hyperlink w:anchor="_Toc517163829" w:history="1">
        <w:r w:rsidR="00D47027" w:rsidRPr="00AB5C96">
          <w:rPr>
            <w:rStyle w:val="Hyperlink"/>
            <w:noProof/>
          </w:rPr>
          <w:t>7.</w:t>
        </w:r>
        <w:r w:rsidR="00D47027">
          <w:rPr>
            <w:rFonts w:asciiTheme="minorHAnsi" w:eastAsiaTheme="minorEastAsia" w:hAnsiTheme="minorHAnsi" w:cstheme="minorBidi"/>
            <w:bCs w:val="0"/>
            <w:caps w:val="0"/>
            <w:noProof/>
            <w:sz w:val="22"/>
            <w:szCs w:val="22"/>
          </w:rPr>
          <w:tab/>
        </w:r>
        <w:r w:rsidR="00D47027" w:rsidRPr="00AB5C96">
          <w:rPr>
            <w:rStyle w:val="Hyperlink"/>
            <w:noProof/>
          </w:rPr>
          <w:t>Regulering af vederlag</w:t>
        </w:r>
        <w:r w:rsidR="00D47027">
          <w:rPr>
            <w:noProof/>
            <w:webHidden/>
          </w:rPr>
          <w:tab/>
        </w:r>
        <w:r w:rsidR="00D47027">
          <w:rPr>
            <w:noProof/>
            <w:webHidden/>
          </w:rPr>
          <w:fldChar w:fldCharType="begin"/>
        </w:r>
        <w:r w:rsidR="00D47027">
          <w:rPr>
            <w:noProof/>
            <w:webHidden/>
          </w:rPr>
          <w:instrText xml:space="preserve"> PAGEREF _Toc517163829 \h </w:instrText>
        </w:r>
        <w:r w:rsidR="00D47027">
          <w:rPr>
            <w:noProof/>
            <w:webHidden/>
          </w:rPr>
        </w:r>
        <w:r w:rsidR="00D47027">
          <w:rPr>
            <w:noProof/>
            <w:webHidden/>
          </w:rPr>
          <w:fldChar w:fldCharType="separate"/>
        </w:r>
        <w:r w:rsidR="00E063CF">
          <w:rPr>
            <w:noProof/>
            <w:webHidden/>
          </w:rPr>
          <w:t>9</w:t>
        </w:r>
        <w:r w:rsidR="00D47027">
          <w:rPr>
            <w:noProof/>
            <w:webHidden/>
          </w:rPr>
          <w:fldChar w:fldCharType="end"/>
        </w:r>
      </w:hyperlink>
    </w:p>
    <w:p w14:paraId="5DE13ED4" w14:textId="3D61A615" w:rsidR="00D47027" w:rsidRDefault="00F67D91">
      <w:pPr>
        <w:pStyle w:val="Indholdsfortegnelse2"/>
        <w:rPr>
          <w:rFonts w:asciiTheme="minorHAnsi" w:eastAsiaTheme="minorEastAsia" w:hAnsiTheme="minorHAnsi" w:cstheme="minorBidi"/>
          <w:bCs w:val="0"/>
          <w:sz w:val="22"/>
          <w:szCs w:val="22"/>
        </w:rPr>
      </w:pPr>
      <w:hyperlink w:anchor="_Toc517163830" w:history="1">
        <w:r w:rsidR="00D47027" w:rsidRPr="00AB5C96">
          <w:rPr>
            <w:rStyle w:val="Hyperlink"/>
          </w:rPr>
          <w:t>7.1</w:t>
        </w:r>
        <w:r w:rsidR="00D47027">
          <w:rPr>
            <w:rFonts w:asciiTheme="minorHAnsi" w:eastAsiaTheme="minorEastAsia" w:hAnsiTheme="minorHAnsi" w:cstheme="minorBidi"/>
            <w:bCs w:val="0"/>
            <w:sz w:val="22"/>
            <w:szCs w:val="22"/>
          </w:rPr>
          <w:tab/>
        </w:r>
        <w:r w:rsidR="00D47027" w:rsidRPr="00AB5C96">
          <w:rPr>
            <w:rStyle w:val="Hyperlink"/>
          </w:rPr>
          <w:t>Reduktion ved effektiviseringssats</w:t>
        </w:r>
        <w:r w:rsidR="00D47027">
          <w:rPr>
            <w:webHidden/>
          </w:rPr>
          <w:tab/>
        </w:r>
        <w:r w:rsidR="00D47027">
          <w:rPr>
            <w:webHidden/>
          </w:rPr>
          <w:fldChar w:fldCharType="begin"/>
        </w:r>
        <w:r w:rsidR="00D47027">
          <w:rPr>
            <w:webHidden/>
          </w:rPr>
          <w:instrText xml:space="preserve"> PAGEREF _Toc517163830 \h </w:instrText>
        </w:r>
        <w:r w:rsidR="00D47027">
          <w:rPr>
            <w:webHidden/>
          </w:rPr>
        </w:r>
        <w:r w:rsidR="00D47027">
          <w:rPr>
            <w:webHidden/>
          </w:rPr>
          <w:fldChar w:fldCharType="separate"/>
        </w:r>
        <w:r w:rsidR="00E063CF">
          <w:rPr>
            <w:webHidden/>
          </w:rPr>
          <w:t>9</w:t>
        </w:r>
        <w:r w:rsidR="00D47027">
          <w:rPr>
            <w:webHidden/>
          </w:rPr>
          <w:fldChar w:fldCharType="end"/>
        </w:r>
      </w:hyperlink>
    </w:p>
    <w:p w14:paraId="25342E86" w14:textId="736381DE" w:rsidR="00D47027" w:rsidRDefault="00F67D91">
      <w:pPr>
        <w:pStyle w:val="Indholdsfortegnelse2"/>
        <w:rPr>
          <w:rFonts w:asciiTheme="minorHAnsi" w:eastAsiaTheme="minorEastAsia" w:hAnsiTheme="minorHAnsi" w:cstheme="minorBidi"/>
          <w:bCs w:val="0"/>
          <w:sz w:val="22"/>
          <w:szCs w:val="22"/>
        </w:rPr>
      </w:pPr>
      <w:hyperlink w:anchor="_Toc517163831" w:history="1">
        <w:r w:rsidR="00D47027" w:rsidRPr="00AB5C96">
          <w:rPr>
            <w:rStyle w:val="Hyperlink"/>
          </w:rPr>
          <w:t>7.2</w:t>
        </w:r>
        <w:r w:rsidR="00D47027">
          <w:rPr>
            <w:rFonts w:asciiTheme="minorHAnsi" w:eastAsiaTheme="minorEastAsia" w:hAnsiTheme="minorHAnsi" w:cstheme="minorBidi"/>
            <w:bCs w:val="0"/>
            <w:sz w:val="22"/>
            <w:szCs w:val="22"/>
          </w:rPr>
          <w:tab/>
        </w:r>
        <w:r w:rsidR="00D47027" w:rsidRPr="00AB5C96">
          <w:rPr>
            <w:rStyle w:val="Hyperlink"/>
          </w:rPr>
          <w:t>Indeksregulering</w:t>
        </w:r>
        <w:r w:rsidR="00D47027">
          <w:rPr>
            <w:webHidden/>
          </w:rPr>
          <w:tab/>
        </w:r>
        <w:r w:rsidR="00D47027">
          <w:rPr>
            <w:webHidden/>
          </w:rPr>
          <w:fldChar w:fldCharType="begin"/>
        </w:r>
        <w:r w:rsidR="00D47027">
          <w:rPr>
            <w:webHidden/>
          </w:rPr>
          <w:instrText xml:space="preserve"> PAGEREF _Toc517163831 \h </w:instrText>
        </w:r>
        <w:r w:rsidR="00D47027">
          <w:rPr>
            <w:webHidden/>
          </w:rPr>
        </w:r>
        <w:r w:rsidR="00D47027">
          <w:rPr>
            <w:webHidden/>
          </w:rPr>
          <w:fldChar w:fldCharType="separate"/>
        </w:r>
        <w:r w:rsidR="00E063CF">
          <w:rPr>
            <w:webHidden/>
          </w:rPr>
          <w:t>9</w:t>
        </w:r>
        <w:r w:rsidR="00D47027">
          <w:rPr>
            <w:webHidden/>
          </w:rPr>
          <w:fldChar w:fldCharType="end"/>
        </w:r>
      </w:hyperlink>
    </w:p>
    <w:p w14:paraId="5DE9868C" w14:textId="23A025EA" w:rsidR="00D47027" w:rsidRDefault="00F67D91">
      <w:pPr>
        <w:pStyle w:val="Indholdsfortegnelse1"/>
        <w:rPr>
          <w:rFonts w:asciiTheme="minorHAnsi" w:eastAsiaTheme="minorEastAsia" w:hAnsiTheme="minorHAnsi" w:cstheme="minorBidi"/>
          <w:bCs w:val="0"/>
          <w:caps w:val="0"/>
          <w:noProof/>
          <w:sz w:val="22"/>
          <w:szCs w:val="22"/>
        </w:rPr>
      </w:pPr>
      <w:hyperlink w:anchor="_Toc517163832" w:history="1">
        <w:r w:rsidR="00D47027" w:rsidRPr="00AB5C96">
          <w:rPr>
            <w:rStyle w:val="Hyperlink"/>
            <w:noProof/>
          </w:rPr>
          <w:t>8.</w:t>
        </w:r>
        <w:r w:rsidR="00D47027">
          <w:rPr>
            <w:rFonts w:asciiTheme="minorHAnsi" w:eastAsiaTheme="minorEastAsia" w:hAnsiTheme="minorHAnsi" w:cstheme="minorBidi"/>
            <w:bCs w:val="0"/>
            <w:caps w:val="0"/>
            <w:noProof/>
            <w:sz w:val="22"/>
            <w:szCs w:val="22"/>
          </w:rPr>
          <w:tab/>
        </w:r>
        <w:r w:rsidR="00D47027" w:rsidRPr="00AB5C96">
          <w:rPr>
            <w:rStyle w:val="Hyperlink"/>
            <w:noProof/>
          </w:rPr>
          <w:t>KRAVMATRICE</w:t>
        </w:r>
        <w:r w:rsidR="00D47027">
          <w:rPr>
            <w:noProof/>
            <w:webHidden/>
          </w:rPr>
          <w:tab/>
        </w:r>
        <w:r w:rsidR="00D47027">
          <w:rPr>
            <w:noProof/>
            <w:webHidden/>
          </w:rPr>
          <w:fldChar w:fldCharType="begin"/>
        </w:r>
        <w:r w:rsidR="00D47027">
          <w:rPr>
            <w:noProof/>
            <w:webHidden/>
          </w:rPr>
          <w:instrText xml:space="preserve"> PAGEREF _Toc517163832 \h </w:instrText>
        </w:r>
        <w:r w:rsidR="00D47027">
          <w:rPr>
            <w:noProof/>
            <w:webHidden/>
          </w:rPr>
        </w:r>
        <w:r w:rsidR="00D47027">
          <w:rPr>
            <w:noProof/>
            <w:webHidden/>
          </w:rPr>
          <w:fldChar w:fldCharType="separate"/>
        </w:r>
        <w:r w:rsidR="00E063CF">
          <w:rPr>
            <w:noProof/>
            <w:webHidden/>
          </w:rPr>
          <w:t>11</w:t>
        </w:r>
        <w:r w:rsidR="00D47027">
          <w:rPr>
            <w:noProof/>
            <w:webHidden/>
          </w:rPr>
          <w:fldChar w:fldCharType="end"/>
        </w:r>
      </w:hyperlink>
    </w:p>
    <w:p w14:paraId="43C3E2C7" w14:textId="4179E2ED" w:rsidR="001D5E33" w:rsidRDefault="00D47027" w:rsidP="00826932">
      <w:pPr>
        <w:ind w:right="-1"/>
      </w:pPr>
      <w:r>
        <w:rPr>
          <w:caps/>
          <w:sz w:val="19"/>
        </w:rPr>
        <w:fldChar w:fldCharType="end"/>
      </w:r>
    </w:p>
    <w:p w14:paraId="4CDFD57E" w14:textId="77777777" w:rsidR="001D5E33" w:rsidRDefault="001D5E33" w:rsidP="001D5E33"/>
    <w:p w14:paraId="420E1D83" w14:textId="77777777" w:rsidR="001D5E33" w:rsidRDefault="001D5E33" w:rsidP="001D5E33"/>
    <w:p w14:paraId="328F0328" w14:textId="77777777" w:rsidR="001D5E33" w:rsidRDefault="001D5E33" w:rsidP="001D5E33">
      <w:pPr>
        <w:pStyle w:val="Overskrift9"/>
      </w:pPr>
      <w:r>
        <w:t>Underbilag</w:t>
      </w:r>
    </w:p>
    <w:p w14:paraId="3378E3D5" w14:textId="2A9AF4C3" w:rsidR="001D5E33" w:rsidRDefault="00065957" w:rsidP="006C5B2B">
      <w:pPr>
        <w:pStyle w:val="Listeafsnit"/>
        <w:numPr>
          <w:ilvl w:val="0"/>
          <w:numId w:val="18"/>
        </w:numPr>
        <w:tabs>
          <w:tab w:val="left" w:pos="993"/>
        </w:tabs>
      </w:pPr>
      <w:bookmarkStart w:id="4" w:name="_Ref512414612"/>
      <w:r>
        <w:t>Enhedspriser</w:t>
      </w:r>
      <w:bookmarkEnd w:id="4"/>
    </w:p>
    <w:p w14:paraId="2506EE4E" w14:textId="6421F132" w:rsidR="001D5E33" w:rsidRDefault="00065957" w:rsidP="00065957">
      <w:pPr>
        <w:pStyle w:val="Listeafsnit"/>
        <w:numPr>
          <w:ilvl w:val="0"/>
          <w:numId w:val="18"/>
        </w:numPr>
        <w:tabs>
          <w:tab w:val="left" w:pos="993"/>
        </w:tabs>
      </w:pPr>
      <w:r>
        <w:t>Benchmarking</w:t>
      </w:r>
      <w:r w:rsidR="001D5E33">
        <w:br w:type="page"/>
      </w:r>
    </w:p>
    <w:p w14:paraId="15F0E13C" w14:textId="77777777" w:rsidR="001D5E33" w:rsidRDefault="0074204C" w:rsidP="0074204C">
      <w:pPr>
        <w:pStyle w:val="Overskrift1"/>
      </w:pPr>
      <w:bookmarkStart w:id="5" w:name="_Toc517163812"/>
      <w:r>
        <w:lastRenderedPageBreak/>
        <w:t>Indledning</w:t>
      </w:r>
      <w:bookmarkEnd w:id="5"/>
    </w:p>
    <w:p w14:paraId="1400D101" w14:textId="7A89C3E4" w:rsidR="00ED71E9" w:rsidRDefault="0074204C" w:rsidP="0074204C">
      <w:r>
        <w:t>Dette bilag</w:t>
      </w:r>
      <w:r w:rsidR="00ED71E9">
        <w:t xml:space="preserve"> inkl. underbilag</w:t>
      </w:r>
      <w:r>
        <w:t xml:space="preserve"> indeholder </w:t>
      </w:r>
      <w:r w:rsidR="00ED71E9">
        <w:t xml:space="preserve">Leverandørens </w:t>
      </w:r>
      <w:r w:rsidR="00B75E2D">
        <w:t xml:space="preserve">vederlag </w:t>
      </w:r>
      <w:r w:rsidR="00ED71E9">
        <w:t xml:space="preserve">for Ydelser omfattet af Kontrakten, samt </w:t>
      </w:r>
      <w:r w:rsidR="00767835">
        <w:t xml:space="preserve">krav til fakturering og </w:t>
      </w:r>
      <w:r w:rsidR="00ED71E9">
        <w:t xml:space="preserve">regulering </w:t>
      </w:r>
      <w:r w:rsidR="00767835">
        <w:t>af benchmarking</w:t>
      </w:r>
      <w:r w:rsidR="00ED71E9">
        <w:t xml:space="preserve">. </w:t>
      </w:r>
    </w:p>
    <w:p w14:paraId="34D5E102" w14:textId="15E32271" w:rsidR="00ED71E9" w:rsidRDefault="00ED71E9" w:rsidP="0074204C"/>
    <w:p w14:paraId="45AD163A" w14:textId="6EDFF6D6" w:rsidR="00ED71E9" w:rsidRDefault="00ED71E9" w:rsidP="0074204C">
      <w:r>
        <w:t xml:space="preserve">Derudover indeholder bilaget </w:t>
      </w:r>
      <w:r w:rsidR="00767835">
        <w:t>faktureringsplanen, som fastsætter, hvornår</w:t>
      </w:r>
      <w:r w:rsidR="00D20C1A">
        <w:t xml:space="preserve"> Leverandøren er berettiget til at fakturere</w:t>
      </w:r>
      <w:r w:rsidR="00767835">
        <w:t xml:space="preserve"> vederlaget for </w:t>
      </w:r>
      <w:r w:rsidR="00775DA6">
        <w:t>Indledende Ydelser</w:t>
      </w:r>
      <w:r w:rsidR="00767835">
        <w:t xml:space="preserve">. </w:t>
      </w:r>
    </w:p>
    <w:p w14:paraId="1910F3E1" w14:textId="3418BC1B" w:rsidR="0074204C" w:rsidRDefault="0074204C" w:rsidP="0074204C">
      <w:pPr>
        <w:rPr>
          <w:highlight w:val="yellow"/>
        </w:rPr>
      </w:pPr>
    </w:p>
    <w:p w14:paraId="5F9AA1DB" w14:textId="210D65FB" w:rsidR="00384DEA" w:rsidRDefault="002C5D65" w:rsidP="00384DEA">
      <w:pPr>
        <w:pStyle w:val="Overskrift1"/>
      </w:pPr>
      <w:bookmarkStart w:id="6" w:name="_Toc517163813"/>
      <w:r>
        <w:t xml:space="preserve">Vederlag for </w:t>
      </w:r>
      <w:r w:rsidR="00775DA6">
        <w:t>Indledende Ydelser</w:t>
      </w:r>
      <w:bookmarkEnd w:id="6"/>
    </w:p>
    <w:p w14:paraId="43EFF4ED" w14:textId="4D9F3C39" w:rsidR="00E23476" w:rsidRPr="00FD6629" w:rsidRDefault="00E23476" w:rsidP="00E23476">
      <w:pPr>
        <w:pStyle w:val="Listeafsnit"/>
        <w:numPr>
          <w:ilvl w:val="0"/>
          <w:numId w:val="20"/>
        </w:numPr>
        <w:rPr>
          <w:i/>
        </w:rPr>
      </w:pPr>
      <w:r w:rsidRPr="00FD6629">
        <w:rPr>
          <w:i/>
        </w:rPr>
        <w:t xml:space="preserve"> Vederlag for </w:t>
      </w:r>
      <w:r w:rsidR="00775DA6">
        <w:rPr>
          <w:i/>
        </w:rPr>
        <w:t>Indledende Ydelser</w:t>
      </w:r>
    </w:p>
    <w:p w14:paraId="4A4030F0" w14:textId="310766A1" w:rsidR="00384DEA" w:rsidRDefault="0031322B" w:rsidP="00384DEA">
      <w:r>
        <w:t xml:space="preserve">Leverandøren er berettiget til vederlag for </w:t>
      </w:r>
      <w:r w:rsidR="00775DA6">
        <w:t>Indledende Ydelser</w:t>
      </w:r>
      <w:r>
        <w:t xml:space="preserve">, jf. Bilag 11, som angivet i </w:t>
      </w:r>
      <w:r w:rsidR="004E303C">
        <w:fldChar w:fldCharType="begin"/>
      </w:r>
      <w:bookmarkStart w:id="7" w:name="_GoBack"/>
      <w:r w:rsidR="004E303C">
        <w:instrText xml:space="preserve"> REF _Ref512414612 \r \h </w:instrText>
      </w:r>
      <w:bookmarkEnd w:id="7"/>
      <w:r w:rsidR="004E303C">
        <w:fldChar w:fldCharType="separate"/>
      </w:r>
      <w:r w:rsidR="00826932">
        <w:t>Bilag 20.a</w:t>
      </w:r>
      <w:r w:rsidR="004E303C">
        <w:fldChar w:fldCharType="end"/>
      </w:r>
      <w:r w:rsidR="0031118C">
        <w:t>.</w:t>
      </w:r>
      <w:r>
        <w:t xml:space="preserve"> </w:t>
      </w:r>
    </w:p>
    <w:p w14:paraId="62D76E2E" w14:textId="04424032" w:rsidR="00FA306A" w:rsidRDefault="00FA306A" w:rsidP="00384DEA"/>
    <w:p w14:paraId="52563C09" w14:textId="7F96E02A" w:rsidR="00384DEA" w:rsidRDefault="0082182E" w:rsidP="00384DEA">
      <w:r>
        <w:t>Leverandøren skal fakturere v</w:t>
      </w:r>
      <w:r w:rsidR="00FA306A">
        <w:t xml:space="preserve">ederlaget </w:t>
      </w:r>
      <w:r>
        <w:t xml:space="preserve">for </w:t>
      </w:r>
      <w:r w:rsidR="00775DA6">
        <w:t>Indledende Ydelser</w:t>
      </w:r>
      <w:r>
        <w:t xml:space="preserve"> i overensstemmelse med </w:t>
      </w:r>
      <w:r w:rsidR="00FA306A">
        <w:t xml:space="preserve">faktureringsplanen angivet i </w:t>
      </w:r>
      <w:r w:rsidR="003A76EE">
        <w:fldChar w:fldCharType="begin"/>
      </w:r>
      <w:r w:rsidR="003A76EE">
        <w:instrText xml:space="preserve"> REF _Ref506219361 \r \h </w:instrText>
      </w:r>
      <w:r w:rsidR="003A76EE">
        <w:fldChar w:fldCharType="separate"/>
      </w:r>
      <w:r w:rsidR="00826932">
        <w:t>K-14</w:t>
      </w:r>
      <w:r w:rsidR="003A76EE">
        <w:fldChar w:fldCharType="end"/>
      </w:r>
      <w:r w:rsidR="003A76EE">
        <w:t xml:space="preserve"> nedenfor</w:t>
      </w:r>
      <w:r w:rsidR="00FA306A">
        <w:t>.</w:t>
      </w:r>
    </w:p>
    <w:p w14:paraId="04F2F9CD" w14:textId="77777777" w:rsidR="00385D81" w:rsidRDefault="00385D81" w:rsidP="00384DEA"/>
    <w:p w14:paraId="7865E7C4" w14:textId="3396A000" w:rsidR="00385D81" w:rsidRDefault="00A9639F" w:rsidP="00385D81">
      <w:pPr>
        <w:pStyle w:val="Overskrift1"/>
      </w:pPr>
      <w:bookmarkStart w:id="8" w:name="_Ref505946988"/>
      <w:bookmarkStart w:id="9" w:name="_Toc517163814"/>
      <w:r>
        <w:t>Vederlag for Løbende Ydelser</w:t>
      </w:r>
      <w:bookmarkEnd w:id="8"/>
      <w:bookmarkEnd w:id="9"/>
    </w:p>
    <w:p w14:paraId="39CD63FC" w14:textId="7E2FCA29" w:rsidR="002A77BC" w:rsidRDefault="00116A1B" w:rsidP="00116A1B">
      <w:r>
        <w:t>De</w:t>
      </w:r>
      <w:r w:rsidR="0068343A">
        <w:t xml:space="preserve"> </w:t>
      </w:r>
      <w:r>
        <w:t xml:space="preserve">månedlige vederlag for Løbende Ydelser, </w:t>
      </w:r>
      <w:r w:rsidR="00082626">
        <w:t xml:space="preserve">som </w:t>
      </w:r>
      <w:r>
        <w:t xml:space="preserve">angivet i </w:t>
      </w:r>
      <w:r w:rsidR="00082626">
        <w:t xml:space="preserve">dette </w:t>
      </w:r>
      <w:r>
        <w:t xml:space="preserve">punkt </w:t>
      </w:r>
      <w:r>
        <w:fldChar w:fldCharType="begin"/>
      </w:r>
      <w:r>
        <w:instrText xml:space="preserve"> REF _Ref505946988 \r \h </w:instrText>
      </w:r>
      <w:r>
        <w:fldChar w:fldCharType="separate"/>
      </w:r>
      <w:r w:rsidR="00826932">
        <w:t>3</w:t>
      </w:r>
      <w:r>
        <w:fldChar w:fldCharType="end"/>
      </w:r>
      <w:r>
        <w:t>, omfatter alle aktiviteter, udgifter og ydelser relateret til de Løbende Ydelser, herunder deltagelse i samarbejdsorganisation, compliance og</w:t>
      </w:r>
      <w:r w:rsidR="00B157C4">
        <w:t xml:space="preserve"> evt. rettigheder, jf. Kontraktens punkt 51 og</w:t>
      </w:r>
      <w:r>
        <w:t xml:space="preserve"> licens</w:t>
      </w:r>
      <w:r w:rsidR="00B157C4">
        <w:t>er</w:t>
      </w:r>
      <w:r>
        <w:t xml:space="preserve"> m.v. </w:t>
      </w:r>
    </w:p>
    <w:p w14:paraId="118CC07F" w14:textId="77777777" w:rsidR="002A77BC" w:rsidRDefault="002A77BC" w:rsidP="00116A1B"/>
    <w:p w14:paraId="3484FBDD" w14:textId="5A783869" w:rsidR="00116A1B" w:rsidRDefault="00EE6D5A" w:rsidP="00116A1B">
      <w:r>
        <w:t>Hvis</w:t>
      </w:r>
      <w:r w:rsidR="002A77BC">
        <w:t xml:space="preserve"> en given Ydelse, der efter sin art kan henføres til en Løbende Ydelse, alene skal leveres som en Standardbestillingsydelse, vederlægges sådanne Ydelser særskilt, </w:t>
      </w:r>
      <w:r w:rsidR="00604DB0">
        <w:t>jf.</w:t>
      </w:r>
      <w:r w:rsidR="002A77BC">
        <w:t xml:space="preserve"> </w:t>
      </w:r>
      <w:r w:rsidR="006D2DDB">
        <w:t xml:space="preserve">punkt </w:t>
      </w:r>
      <w:r w:rsidR="006D2DDB">
        <w:fldChar w:fldCharType="begin"/>
      </w:r>
      <w:r w:rsidR="006D2DDB">
        <w:instrText xml:space="preserve"> REF _Ref507156334 \r \h </w:instrText>
      </w:r>
      <w:r w:rsidR="006D2DDB">
        <w:fldChar w:fldCharType="separate"/>
      </w:r>
      <w:r w:rsidR="00826932">
        <w:t>4.1</w:t>
      </w:r>
      <w:r w:rsidR="006D2DDB">
        <w:fldChar w:fldCharType="end"/>
      </w:r>
      <w:r w:rsidR="006D2DDB">
        <w:t>.</w:t>
      </w:r>
    </w:p>
    <w:p w14:paraId="04FF8894" w14:textId="77777777" w:rsidR="00350BED" w:rsidRPr="00116A1B" w:rsidRDefault="00350BED" w:rsidP="00116A1B"/>
    <w:p w14:paraId="78AEF8D6" w14:textId="2A96008C" w:rsidR="006600BA" w:rsidRDefault="006600BA" w:rsidP="006600BA">
      <w:pPr>
        <w:pStyle w:val="Overskrift2"/>
      </w:pPr>
      <w:bookmarkStart w:id="10" w:name="_Ref505947706"/>
      <w:bookmarkStart w:id="11" w:name="_Toc517163815"/>
      <w:r>
        <w:t xml:space="preserve">Vederlag for </w:t>
      </w:r>
      <w:r w:rsidR="00A94FF6">
        <w:t>Enheds</w:t>
      </w:r>
      <w:r>
        <w:t>administration</w:t>
      </w:r>
      <w:bookmarkEnd w:id="10"/>
      <w:bookmarkEnd w:id="11"/>
    </w:p>
    <w:p w14:paraId="325CCBEB" w14:textId="57D54DEE" w:rsidR="00E23476" w:rsidRPr="00EE6D5A" w:rsidRDefault="00E23476" w:rsidP="00E23476">
      <w:pPr>
        <w:pStyle w:val="Listeafsnit"/>
        <w:numPr>
          <w:ilvl w:val="0"/>
          <w:numId w:val="20"/>
        </w:numPr>
        <w:rPr>
          <w:i/>
        </w:rPr>
      </w:pPr>
      <w:r w:rsidRPr="00EE6D5A">
        <w:rPr>
          <w:i/>
        </w:rPr>
        <w:t xml:space="preserve"> Vederlag for </w:t>
      </w:r>
      <w:r w:rsidR="00EE6D5A" w:rsidRPr="00EE6D5A">
        <w:rPr>
          <w:i/>
        </w:rPr>
        <w:t>Enhedsadministration</w:t>
      </w:r>
    </w:p>
    <w:p w14:paraId="37FB704D" w14:textId="5627205C" w:rsidR="006600BA" w:rsidRDefault="00F92CA1" w:rsidP="006600BA">
      <w:r>
        <w:t>Leverandøren er berettiget til et</w:t>
      </w:r>
      <w:r w:rsidR="0068343A">
        <w:t xml:space="preserve"> </w:t>
      </w:r>
      <w:r>
        <w:t xml:space="preserve">månedligt vederlag for </w:t>
      </w:r>
      <w:r w:rsidR="00EE6D5A">
        <w:t>Enhedsadministration</w:t>
      </w:r>
      <w:r>
        <w:t xml:space="preserve">,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t>.</w:t>
      </w:r>
      <w:r w:rsidR="00A94FF6">
        <w:t xml:space="preserve"> Det</w:t>
      </w:r>
      <w:r w:rsidR="0068343A">
        <w:t xml:space="preserve"> </w:t>
      </w:r>
      <w:r w:rsidR="00A94FF6">
        <w:t>månedlige vederlag</w:t>
      </w:r>
      <w:r w:rsidR="006355CE">
        <w:t xml:space="preserve"> reguleres, som angivet i punkt </w:t>
      </w:r>
      <w:r w:rsidR="006355CE">
        <w:fldChar w:fldCharType="begin"/>
      </w:r>
      <w:r w:rsidR="006355CE">
        <w:instrText xml:space="preserve"> REF _Ref506886318 \r \h </w:instrText>
      </w:r>
      <w:r w:rsidR="006355CE">
        <w:fldChar w:fldCharType="separate"/>
      </w:r>
      <w:r w:rsidR="00826932">
        <w:t>7.1</w:t>
      </w:r>
      <w:r w:rsidR="006355CE">
        <w:fldChar w:fldCharType="end"/>
      </w:r>
      <w:r w:rsidR="006355CE">
        <w:t>.</w:t>
      </w:r>
      <w:r>
        <w:t xml:space="preserve"> </w:t>
      </w:r>
    </w:p>
    <w:p w14:paraId="3DE2E0E5" w14:textId="56B94653" w:rsidR="006600BA" w:rsidRDefault="006600BA" w:rsidP="006600BA"/>
    <w:p w14:paraId="1CCBD0A5" w14:textId="593C2773" w:rsidR="006600BA" w:rsidRDefault="006600BA" w:rsidP="006600BA">
      <w:pPr>
        <w:pStyle w:val="Overskrift2"/>
      </w:pPr>
      <w:bookmarkStart w:id="12" w:name="_Toc517163816"/>
      <w:r>
        <w:t>Vederlag for Support</w:t>
      </w:r>
      <w:bookmarkEnd w:id="12"/>
    </w:p>
    <w:p w14:paraId="56FC3DBE" w14:textId="65BD2E8B" w:rsidR="00E23476" w:rsidRPr="00F077AB" w:rsidRDefault="00E23476" w:rsidP="00E23476">
      <w:pPr>
        <w:pStyle w:val="Listeafsnit"/>
        <w:numPr>
          <w:ilvl w:val="0"/>
          <w:numId w:val="20"/>
        </w:numPr>
        <w:rPr>
          <w:i/>
        </w:rPr>
      </w:pPr>
      <w:r w:rsidRPr="00F077AB">
        <w:rPr>
          <w:i/>
        </w:rPr>
        <w:t xml:space="preserve"> Vederlag for Support</w:t>
      </w:r>
    </w:p>
    <w:p w14:paraId="3CEFD643" w14:textId="42C1AA8B" w:rsidR="00F92CA1" w:rsidRDefault="00F92CA1" w:rsidP="00F92CA1">
      <w:r>
        <w:t>Leverandøren er berettiget til et</w:t>
      </w:r>
      <w:r w:rsidR="0068343A">
        <w:t xml:space="preserve"> </w:t>
      </w:r>
      <w:r>
        <w:t xml:space="preserve">månedligt vederlag for Support,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A63E68">
        <w:t>.</w:t>
      </w:r>
      <w:r w:rsidR="006355CE">
        <w:t xml:space="preserve"> Det</w:t>
      </w:r>
      <w:r w:rsidR="0068343A">
        <w:t xml:space="preserve"> </w:t>
      </w:r>
      <w:r w:rsidR="006355CE">
        <w:t xml:space="preserve">månedlige vederlag reguleres, som angivet i punkt </w:t>
      </w:r>
      <w:r w:rsidR="006355CE">
        <w:fldChar w:fldCharType="begin"/>
      </w:r>
      <w:r w:rsidR="006355CE">
        <w:instrText xml:space="preserve"> REF _Ref506886318 \r \h </w:instrText>
      </w:r>
      <w:r w:rsidR="006355CE">
        <w:fldChar w:fldCharType="separate"/>
      </w:r>
      <w:r w:rsidR="00826932">
        <w:t>7.1</w:t>
      </w:r>
      <w:r w:rsidR="006355CE">
        <w:fldChar w:fldCharType="end"/>
      </w:r>
      <w:r w:rsidR="006355CE">
        <w:t xml:space="preserve"> og </w:t>
      </w:r>
      <w:r w:rsidR="006355CE">
        <w:fldChar w:fldCharType="begin"/>
      </w:r>
      <w:r w:rsidR="006355CE">
        <w:instrText xml:space="preserve"> REF _Ref506886470 \r \h </w:instrText>
      </w:r>
      <w:r w:rsidR="006355CE">
        <w:fldChar w:fldCharType="separate"/>
      </w:r>
      <w:r w:rsidR="00826932">
        <w:t>7.2</w:t>
      </w:r>
      <w:r w:rsidR="006355CE">
        <w:fldChar w:fldCharType="end"/>
      </w:r>
      <w:r w:rsidR="006355CE">
        <w:t>.</w:t>
      </w:r>
    </w:p>
    <w:p w14:paraId="156E2C7B" w14:textId="41CC8B13" w:rsidR="006600BA" w:rsidRDefault="006600BA" w:rsidP="006600BA"/>
    <w:p w14:paraId="5F002826" w14:textId="73FACA99" w:rsidR="006600BA" w:rsidRDefault="006600BA" w:rsidP="006600BA">
      <w:pPr>
        <w:pStyle w:val="Overskrift2"/>
      </w:pPr>
      <w:bookmarkStart w:id="13" w:name="_Toc517163817"/>
      <w:r>
        <w:t>Vederlag for Applikationsdrift</w:t>
      </w:r>
      <w:bookmarkEnd w:id="13"/>
    </w:p>
    <w:p w14:paraId="167F88E8" w14:textId="4B856C62" w:rsidR="00E23476" w:rsidRPr="00F077AB" w:rsidRDefault="00E23476" w:rsidP="00E23476">
      <w:pPr>
        <w:pStyle w:val="Listeafsnit"/>
        <w:numPr>
          <w:ilvl w:val="0"/>
          <w:numId w:val="20"/>
        </w:numPr>
        <w:rPr>
          <w:i/>
        </w:rPr>
      </w:pPr>
      <w:r w:rsidRPr="00F077AB">
        <w:rPr>
          <w:i/>
        </w:rPr>
        <w:t xml:space="preserve"> Vederlag for Applikationsdrift</w:t>
      </w:r>
    </w:p>
    <w:p w14:paraId="50D22B98" w14:textId="357FF54D" w:rsidR="006F6D15" w:rsidRDefault="00F92CA1" w:rsidP="006600BA">
      <w:r>
        <w:t>Leverandøren er berettiget til et</w:t>
      </w:r>
      <w:r w:rsidR="0068343A">
        <w:t xml:space="preserve"> </w:t>
      </w:r>
      <w:r>
        <w:t xml:space="preserve">månedligt vederlag for Applikationsdrift,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6355CE">
        <w:t>, inkl. efterfølgende regulering af vederlaget. Det</w:t>
      </w:r>
      <w:r w:rsidR="0068343A">
        <w:t xml:space="preserve"> </w:t>
      </w:r>
      <w:r w:rsidR="006355CE">
        <w:t xml:space="preserve">månedlige vederlag reguleres, som angivet i punkt </w:t>
      </w:r>
      <w:r w:rsidR="006355CE">
        <w:fldChar w:fldCharType="begin"/>
      </w:r>
      <w:r w:rsidR="006355CE">
        <w:instrText xml:space="preserve"> REF _Ref506886318 \r \h </w:instrText>
      </w:r>
      <w:r w:rsidR="006355CE">
        <w:fldChar w:fldCharType="separate"/>
      </w:r>
      <w:r w:rsidR="00826932">
        <w:t>7.1</w:t>
      </w:r>
      <w:r w:rsidR="006355CE">
        <w:fldChar w:fldCharType="end"/>
      </w:r>
      <w:r w:rsidR="006355CE">
        <w:t>.</w:t>
      </w:r>
    </w:p>
    <w:p w14:paraId="08F25707" w14:textId="77777777" w:rsidR="00563ADA" w:rsidRDefault="00563ADA" w:rsidP="006600BA"/>
    <w:p w14:paraId="607F59DE" w14:textId="4AD4A03C" w:rsidR="006600BA" w:rsidRDefault="006600BA" w:rsidP="006600BA">
      <w:pPr>
        <w:pStyle w:val="Overskrift2"/>
      </w:pPr>
      <w:bookmarkStart w:id="14" w:name="_Toc517163818"/>
      <w:r>
        <w:t>Vederlag for Infrastrukturdrift</w:t>
      </w:r>
      <w:bookmarkEnd w:id="14"/>
    </w:p>
    <w:p w14:paraId="7E7C60C5" w14:textId="1EAFD418" w:rsidR="00E23476" w:rsidRPr="00DA082E" w:rsidRDefault="00E23476" w:rsidP="00E23476">
      <w:pPr>
        <w:pStyle w:val="Listeafsnit"/>
        <w:numPr>
          <w:ilvl w:val="0"/>
          <w:numId w:val="20"/>
        </w:numPr>
        <w:rPr>
          <w:i/>
        </w:rPr>
      </w:pPr>
      <w:r w:rsidRPr="00DA082E">
        <w:rPr>
          <w:i/>
        </w:rPr>
        <w:t xml:space="preserve"> Vederlag for Infrastrukturdrift</w:t>
      </w:r>
    </w:p>
    <w:p w14:paraId="4668460F" w14:textId="6DE06074" w:rsidR="00F92CA1" w:rsidRDefault="00F92CA1" w:rsidP="00F92CA1">
      <w:r>
        <w:lastRenderedPageBreak/>
        <w:t>Leverandøren er berettiget til et</w:t>
      </w:r>
      <w:r w:rsidR="0068343A">
        <w:t xml:space="preserve"> </w:t>
      </w:r>
      <w:r>
        <w:t xml:space="preserve">månedligt vederlag for Infrastrukturdrift,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6355CE">
        <w:t>, inkl. efterfølgende regulering af vederlaget. Det</w:t>
      </w:r>
      <w:r w:rsidR="0068343A">
        <w:t xml:space="preserve"> </w:t>
      </w:r>
      <w:r w:rsidR="006355CE">
        <w:t xml:space="preserve">månedlige vederlag reguleres, som angivet i punkt </w:t>
      </w:r>
      <w:r w:rsidR="006355CE">
        <w:fldChar w:fldCharType="begin"/>
      </w:r>
      <w:r w:rsidR="006355CE">
        <w:instrText xml:space="preserve"> REF _Ref506886318 \r \h </w:instrText>
      </w:r>
      <w:r w:rsidR="006355CE">
        <w:fldChar w:fldCharType="separate"/>
      </w:r>
      <w:r w:rsidR="00826932">
        <w:t>7.1</w:t>
      </w:r>
      <w:r w:rsidR="006355CE">
        <w:fldChar w:fldCharType="end"/>
      </w:r>
      <w:r w:rsidR="006355CE">
        <w:t>.</w:t>
      </w:r>
      <w:r>
        <w:t xml:space="preserve"> </w:t>
      </w:r>
    </w:p>
    <w:p w14:paraId="5CDAED8C" w14:textId="47E0DB57" w:rsidR="006600BA" w:rsidRDefault="006600BA" w:rsidP="006600BA"/>
    <w:p w14:paraId="184B699B" w14:textId="4D6AACBE" w:rsidR="006600BA" w:rsidRDefault="006600BA" w:rsidP="006600BA">
      <w:pPr>
        <w:pStyle w:val="Overskrift2"/>
      </w:pPr>
      <w:bookmarkStart w:id="15" w:name="_Toc517163819"/>
      <w:r>
        <w:t>Vederlag for Datacenterdrift</w:t>
      </w:r>
      <w:bookmarkEnd w:id="15"/>
    </w:p>
    <w:p w14:paraId="498FF521" w14:textId="10ABD3E3" w:rsidR="00E23476" w:rsidRPr="00DA082E" w:rsidRDefault="00E23476" w:rsidP="00E23476">
      <w:pPr>
        <w:pStyle w:val="Listeafsnit"/>
        <w:numPr>
          <w:ilvl w:val="0"/>
          <w:numId w:val="20"/>
        </w:numPr>
        <w:rPr>
          <w:i/>
        </w:rPr>
      </w:pPr>
      <w:r w:rsidRPr="00DA082E">
        <w:rPr>
          <w:i/>
        </w:rPr>
        <w:t xml:space="preserve"> Vederlag for Datacenterdrift</w:t>
      </w:r>
    </w:p>
    <w:p w14:paraId="21BCCB61" w14:textId="7487D14F" w:rsidR="00F92CA1" w:rsidRDefault="00F92CA1" w:rsidP="00F92CA1">
      <w:r>
        <w:t>Leverandøren er berettiget til et</w:t>
      </w:r>
      <w:r w:rsidR="0068343A">
        <w:t xml:space="preserve"> </w:t>
      </w:r>
      <w:r>
        <w:t xml:space="preserve">månedligt vederlag for Datacenterdrift,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6355CE">
        <w:t>. Det</w:t>
      </w:r>
      <w:r w:rsidR="0068343A">
        <w:t xml:space="preserve"> </w:t>
      </w:r>
      <w:r w:rsidR="006355CE">
        <w:t xml:space="preserve">månedlige vederlag reguleres, som angivet i punkt </w:t>
      </w:r>
      <w:r w:rsidR="006355CE">
        <w:fldChar w:fldCharType="begin"/>
      </w:r>
      <w:r w:rsidR="006355CE">
        <w:instrText xml:space="preserve"> REF _Ref506886318 \r \h </w:instrText>
      </w:r>
      <w:r w:rsidR="006355CE">
        <w:fldChar w:fldCharType="separate"/>
      </w:r>
      <w:r w:rsidR="00826932">
        <w:t>7.1</w:t>
      </w:r>
      <w:r w:rsidR="006355CE">
        <w:fldChar w:fldCharType="end"/>
      </w:r>
      <w:r w:rsidR="006355CE">
        <w:t>.</w:t>
      </w:r>
      <w:r>
        <w:t xml:space="preserve"> </w:t>
      </w:r>
    </w:p>
    <w:p w14:paraId="66F95434" w14:textId="6EC211CA" w:rsidR="006600BA" w:rsidRDefault="006600BA" w:rsidP="006600BA"/>
    <w:p w14:paraId="26315451" w14:textId="01E4019B" w:rsidR="006600BA" w:rsidRDefault="006600BA" w:rsidP="006600BA">
      <w:pPr>
        <w:pStyle w:val="Overskrift2"/>
      </w:pPr>
      <w:bookmarkStart w:id="16" w:name="_Ref505947709"/>
      <w:bookmarkStart w:id="17" w:name="_Toc517163820"/>
      <w:r>
        <w:t>Vederlag for Netværksdrift</w:t>
      </w:r>
      <w:bookmarkEnd w:id="16"/>
      <w:bookmarkEnd w:id="17"/>
    </w:p>
    <w:p w14:paraId="298A7DF2" w14:textId="057951F5" w:rsidR="00E23476" w:rsidRPr="00DA082E" w:rsidRDefault="008205B8" w:rsidP="00E23476">
      <w:pPr>
        <w:pStyle w:val="Listeafsnit"/>
        <w:numPr>
          <w:ilvl w:val="0"/>
          <w:numId w:val="20"/>
        </w:numPr>
        <w:rPr>
          <w:i/>
        </w:rPr>
      </w:pPr>
      <w:r w:rsidRPr="00DA082E">
        <w:rPr>
          <w:i/>
        </w:rPr>
        <w:t xml:space="preserve"> </w:t>
      </w:r>
      <w:r w:rsidR="00E23476" w:rsidRPr="00DA082E">
        <w:rPr>
          <w:i/>
        </w:rPr>
        <w:t>Vederlag for Netværksdrift</w:t>
      </w:r>
    </w:p>
    <w:p w14:paraId="38BC9FDB" w14:textId="5614BD2B" w:rsidR="00F92CA1" w:rsidRDefault="00F92CA1" w:rsidP="00F92CA1">
      <w:r>
        <w:t>Leverandøren er berettiget til et</w:t>
      </w:r>
      <w:r w:rsidR="0068343A">
        <w:t xml:space="preserve"> </w:t>
      </w:r>
      <w:r>
        <w:t xml:space="preserve">månedligt vederlag for Netværksdrift,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6355CE">
        <w:t>. Det</w:t>
      </w:r>
      <w:r w:rsidR="0068343A">
        <w:t xml:space="preserve"> </w:t>
      </w:r>
      <w:r w:rsidR="006355CE">
        <w:t xml:space="preserve">månedlige vederlag reguleres, som angivet i punkt </w:t>
      </w:r>
      <w:r w:rsidR="006355CE">
        <w:fldChar w:fldCharType="begin"/>
      </w:r>
      <w:r w:rsidR="006355CE">
        <w:instrText xml:space="preserve"> REF _Ref506886318 \r \h </w:instrText>
      </w:r>
      <w:r w:rsidR="006355CE">
        <w:fldChar w:fldCharType="separate"/>
      </w:r>
      <w:r w:rsidR="00826932">
        <w:t>7.1</w:t>
      </w:r>
      <w:r w:rsidR="006355CE">
        <w:fldChar w:fldCharType="end"/>
      </w:r>
      <w:r w:rsidR="006355CE">
        <w:t>.</w:t>
      </w:r>
      <w:r>
        <w:t xml:space="preserve"> </w:t>
      </w:r>
    </w:p>
    <w:p w14:paraId="41172342" w14:textId="5BE822E5" w:rsidR="006600BA" w:rsidRDefault="006600BA" w:rsidP="006600BA"/>
    <w:p w14:paraId="738F8926" w14:textId="51708D69" w:rsidR="006600BA" w:rsidRDefault="006600BA" w:rsidP="006600BA">
      <w:pPr>
        <w:pStyle w:val="Overskrift2"/>
      </w:pPr>
      <w:bookmarkStart w:id="18" w:name="_Ref506888162"/>
      <w:bookmarkStart w:id="19" w:name="_Toc517163821"/>
      <w:r>
        <w:t>Skalering af vederlag for Løbende Ydelser</w:t>
      </w:r>
      <w:bookmarkEnd w:id="18"/>
      <w:bookmarkEnd w:id="19"/>
    </w:p>
    <w:p w14:paraId="08693A9C" w14:textId="2C6DD7CD" w:rsidR="00E23476" w:rsidRPr="00CA7A98" w:rsidRDefault="00E23476" w:rsidP="00E23476">
      <w:pPr>
        <w:pStyle w:val="Listeafsnit"/>
        <w:numPr>
          <w:ilvl w:val="0"/>
          <w:numId w:val="20"/>
        </w:numPr>
        <w:rPr>
          <w:i/>
        </w:rPr>
      </w:pPr>
      <w:r w:rsidRPr="00CA7A98">
        <w:rPr>
          <w:i/>
        </w:rPr>
        <w:t xml:space="preserve"> Skalering af vederlag for Løbende Ydelser</w:t>
      </w:r>
    </w:p>
    <w:p w14:paraId="5793518C" w14:textId="4D51AFC4" w:rsidR="00723DC8" w:rsidRDefault="00A80B60" w:rsidP="006600BA">
      <w:r>
        <w:t>V</w:t>
      </w:r>
      <w:r w:rsidR="001B6271">
        <w:t>ederlag</w:t>
      </w:r>
      <w:r w:rsidR="00F24058">
        <w:t>et</w:t>
      </w:r>
      <w:r w:rsidR="001B6271">
        <w:t xml:space="preserve"> for</w:t>
      </w:r>
      <w:r w:rsidR="00194FA0">
        <w:t xml:space="preserve"> Løbende Ydelser</w:t>
      </w:r>
      <w:r w:rsidR="00CA7A98">
        <w:t xml:space="preserve">, jf. punkt </w:t>
      </w:r>
      <w:r w:rsidR="00CA7A98">
        <w:fldChar w:fldCharType="begin"/>
      </w:r>
      <w:r w:rsidR="00CA7A98">
        <w:instrText xml:space="preserve"> REF _Ref505947706 \r \h </w:instrText>
      </w:r>
      <w:r w:rsidR="00CA7A98">
        <w:fldChar w:fldCharType="separate"/>
      </w:r>
      <w:r w:rsidR="00826932">
        <w:t>3.1</w:t>
      </w:r>
      <w:r w:rsidR="00CA7A98">
        <w:fldChar w:fldCharType="end"/>
      </w:r>
      <w:r w:rsidR="00CA7A98">
        <w:t xml:space="preserve"> - punkt </w:t>
      </w:r>
      <w:r w:rsidR="00CA7A98">
        <w:fldChar w:fldCharType="begin"/>
      </w:r>
      <w:r w:rsidR="00CA7A98">
        <w:instrText xml:space="preserve"> REF _Ref505947709 \r \h </w:instrText>
      </w:r>
      <w:r w:rsidR="00CA7A98">
        <w:fldChar w:fldCharType="separate"/>
      </w:r>
      <w:r w:rsidR="00826932">
        <w:t>3.6</w:t>
      </w:r>
      <w:r w:rsidR="00CA7A98">
        <w:fldChar w:fldCharType="end"/>
      </w:r>
      <w:r w:rsidR="00CA7A98">
        <w:t>,</w:t>
      </w:r>
      <w:r>
        <w:t xml:space="preserve"> </w:t>
      </w:r>
      <w:r w:rsidR="00CA7A98">
        <w:t xml:space="preserve">kan </w:t>
      </w:r>
      <w:r>
        <w:t>skaleres</w:t>
      </w:r>
      <w:r w:rsidR="00BF6E3F">
        <w:t>,</w:t>
      </w:r>
      <w:r w:rsidR="00194FA0">
        <w:t xml:space="preserve"> </w:t>
      </w:r>
      <w:r w:rsidR="00BF6E3F">
        <w:t xml:space="preserve">som </w:t>
      </w:r>
      <w:r w:rsidR="00CA7A98">
        <w:t>følge</w:t>
      </w:r>
      <w:r w:rsidR="00BF6E3F">
        <w:t xml:space="preserve"> af </w:t>
      </w:r>
      <w:r w:rsidR="001B6271">
        <w:t>Operationelle Tilpasninger, jf. Kontraktens punkt 25 og punkt 37.3.7</w:t>
      </w:r>
      <w:r w:rsidR="00723DC8">
        <w:t>.</w:t>
      </w:r>
    </w:p>
    <w:p w14:paraId="4A3D2B80" w14:textId="77777777" w:rsidR="00723DC8" w:rsidRDefault="00723DC8" w:rsidP="006600BA"/>
    <w:p w14:paraId="319AFA31" w14:textId="534A46FE" w:rsidR="00723DC8" w:rsidRDefault="00723DC8" w:rsidP="006600BA">
      <w:r>
        <w:t>Op- eller nedskalering af det</w:t>
      </w:r>
      <w:r w:rsidR="0068343A">
        <w:t xml:space="preserve"> </w:t>
      </w:r>
      <w:r>
        <w:t>månedlige vederlag for en Løbende Ydelse sker</w:t>
      </w:r>
      <w:r w:rsidR="001B6271">
        <w:t xml:space="preserve"> ved de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CA7A98">
        <w:t xml:space="preserve"> angivne enhedspriser</w:t>
      </w:r>
      <w:r w:rsidR="001B6271">
        <w:t>.</w:t>
      </w:r>
      <w:r>
        <w:t xml:space="preserve"> </w:t>
      </w:r>
    </w:p>
    <w:p w14:paraId="0C06A2CE" w14:textId="08F479C8" w:rsidR="00723DC8" w:rsidRDefault="00723DC8" w:rsidP="006600BA"/>
    <w:p w14:paraId="46AE3873" w14:textId="31771413" w:rsidR="00A56886" w:rsidRDefault="00A9639F" w:rsidP="00A56886">
      <w:pPr>
        <w:pStyle w:val="Overskrift1"/>
      </w:pPr>
      <w:bookmarkStart w:id="20" w:name="_Ref505948692"/>
      <w:bookmarkStart w:id="21" w:name="_Toc517163822"/>
      <w:r>
        <w:t>Vederlag for Bestillingsydelser</w:t>
      </w:r>
      <w:bookmarkEnd w:id="20"/>
      <w:bookmarkEnd w:id="21"/>
    </w:p>
    <w:p w14:paraId="5032D083" w14:textId="02F183B1" w:rsidR="008B69A2" w:rsidRDefault="00A0167B" w:rsidP="00A56886">
      <w:r>
        <w:t>Vederlag for Bestillingsydelser</w:t>
      </w:r>
      <w:r w:rsidR="00BC5A0B">
        <w:t>, som</w:t>
      </w:r>
      <w:r>
        <w:t xml:space="preserve"> angivet i </w:t>
      </w:r>
      <w:r w:rsidR="00BC5A0B">
        <w:t xml:space="preserve">dette </w:t>
      </w:r>
      <w:r>
        <w:t xml:space="preserve">punkt </w:t>
      </w:r>
      <w:r>
        <w:fldChar w:fldCharType="begin"/>
      </w:r>
      <w:r>
        <w:instrText xml:space="preserve"> REF _Ref505948692 \r \h </w:instrText>
      </w:r>
      <w:r>
        <w:fldChar w:fldCharType="separate"/>
      </w:r>
      <w:r w:rsidR="00826932">
        <w:t>4</w:t>
      </w:r>
      <w:r>
        <w:fldChar w:fldCharType="end"/>
      </w:r>
      <w:r>
        <w:t xml:space="preserve">, omfatter alle aktiviteter, </w:t>
      </w:r>
      <w:r w:rsidR="00B157C4">
        <w:t xml:space="preserve">rettigheder, jf. Kontraktens punkt 51, </w:t>
      </w:r>
      <w:r>
        <w:t>udgifter og ydelser relateret til Bestillingsydelserne, herunder omkostninger til transport, fortæring, ophold m.v.</w:t>
      </w:r>
    </w:p>
    <w:p w14:paraId="7386C90C" w14:textId="77777777" w:rsidR="00A0167B" w:rsidRDefault="00A0167B" w:rsidP="00A56886"/>
    <w:p w14:paraId="48761698" w14:textId="372A2FFC" w:rsidR="00A56886" w:rsidRDefault="006600BA" w:rsidP="008B69A2">
      <w:pPr>
        <w:pStyle w:val="Overskrift2"/>
      </w:pPr>
      <w:bookmarkStart w:id="22" w:name="_Ref507156334"/>
      <w:bookmarkStart w:id="23" w:name="_Toc517163823"/>
      <w:r>
        <w:t>Vederlag for Standardbestillingsydelser</w:t>
      </w:r>
      <w:bookmarkEnd w:id="22"/>
      <w:bookmarkEnd w:id="23"/>
    </w:p>
    <w:p w14:paraId="26408612" w14:textId="654C0DAC" w:rsidR="00E23476" w:rsidRDefault="00E23476" w:rsidP="00E23476">
      <w:pPr>
        <w:pStyle w:val="Listeafsnit"/>
        <w:numPr>
          <w:ilvl w:val="0"/>
          <w:numId w:val="20"/>
        </w:numPr>
      </w:pPr>
      <w:r>
        <w:t xml:space="preserve"> Vederlag for Standardbestillingsydelser</w:t>
      </w:r>
    </w:p>
    <w:p w14:paraId="55DF16D5" w14:textId="23208C06" w:rsidR="008B69A2" w:rsidRDefault="00A0167B" w:rsidP="008B69A2">
      <w:r>
        <w:t xml:space="preserve">Leverandøren er berettiget til vederlag </w:t>
      </w:r>
      <w:r w:rsidR="00A80B60">
        <w:t>for</w:t>
      </w:r>
      <w:r>
        <w:t xml:space="preserve"> Standardbestillingsydelse</w:t>
      </w:r>
      <w:r w:rsidR="00A80B60">
        <w:t>r</w:t>
      </w:r>
      <w:r>
        <w:t xml:space="preserve">,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t xml:space="preserve">. </w:t>
      </w:r>
    </w:p>
    <w:p w14:paraId="39392C1F" w14:textId="77777777" w:rsidR="00A0167B" w:rsidRDefault="00A0167B" w:rsidP="008B69A2"/>
    <w:p w14:paraId="09F7CC39" w14:textId="64A83A5F" w:rsidR="008B69A2" w:rsidRDefault="006600BA" w:rsidP="006600BA">
      <w:pPr>
        <w:pStyle w:val="Overskrift2"/>
      </w:pPr>
      <w:bookmarkStart w:id="24" w:name="_Toc517163824"/>
      <w:r>
        <w:t>Vederlag for Konsulentydelser</w:t>
      </w:r>
      <w:bookmarkEnd w:id="24"/>
    </w:p>
    <w:p w14:paraId="4E61217A" w14:textId="41BB0220" w:rsidR="00E23476" w:rsidRDefault="00E23476" w:rsidP="00E23476">
      <w:pPr>
        <w:pStyle w:val="Listeafsnit"/>
        <w:numPr>
          <w:ilvl w:val="0"/>
          <w:numId w:val="20"/>
        </w:numPr>
      </w:pPr>
      <w:r>
        <w:t>Vederlag for Konsulentydelser</w:t>
      </w:r>
    </w:p>
    <w:p w14:paraId="43CD6F91" w14:textId="06FA9E19" w:rsidR="006600BA" w:rsidRDefault="00A0167B" w:rsidP="006600BA">
      <w:r>
        <w:t xml:space="preserve">Leverandøren er berettiget til vederlag for </w:t>
      </w:r>
      <w:r w:rsidR="00C308D3">
        <w:t>levering af Konsulentydelser</w:t>
      </w:r>
      <w:r w:rsidR="006A04DE">
        <w:t>,</w:t>
      </w:r>
      <w:r w:rsidR="00C308D3">
        <w:t xml:space="preserve"> efter </w:t>
      </w:r>
      <w:r>
        <w:t>medgået tid</w:t>
      </w:r>
      <w:r w:rsidR="00C308D3" w:rsidRPr="00C308D3">
        <w:t xml:space="preserve"> </w:t>
      </w:r>
      <w:r w:rsidR="00C308D3">
        <w:t>fordelt på medarbejderkategorier</w:t>
      </w:r>
      <w:r>
        <w:t xml:space="preserve"> </w:t>
      </w:r>
      <w:r w:rsidR="00C308D3">
        <w:t xml:space="preserve">til timepriserne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C308D3">
        <w:t xml:space="preserve">. </w:t>
      </w:r>
    </w:p>
    <w:p w14:paraId="38BFBB2F" w14:textId="481E4E59" w:rsidR="00C308D3" w:rsidRDefault="00C308D3" w:rsidP="006600BA"/>
    <w:p w14:paraId="4DB093CF" w14:textId="095202FE" w:rsidR="00C308D3" w:rsidRDefault="00C308D3" w:rsidP="006600BA">
      <w:r>
        <w:t>Leverandøren er kun berettiget til vederlag for tid, der er</w:t>
      </w:r>
      <w:r w:rsidR="00DA082E">
        <w:t xml:space="preserve"> dokumenteret og</w:t>
      </w:r>
      <w:r>
        <w:t xml:space="preserve"> effektivt </w:t>
      </w:r>
      <w:r w:rsidR="00BC5A0B">
        <w:t>medgået tid</w:t>
      </w:r>
      <w:r>
        <w:t xml:space="preserve"> på den bestilte opgave. Pauser, herunder frokostpauser, transporttid m.v. kan således ikke medregnes.</w:t>
      </w:r>
    </w:p>
    <w:p w14:paraId="097FA4CC" w14:textId="1694E7DD" w:rsidR="00483B77" w:rsidRDefault="00483B77" w:rsidP="006600BA"/>
    <w:p w14:paraId="698FC287" w14:textId="71B41AB9" w:rsidR="00483B77" w:rsidRDefault="00483B77" w:rsidP="00483B77">
      <w:pPr>
        <w:pStyle w:val="Listeafsnit"/>
        <w:numPr>
          <w:ilvl w:val="0"/>
          <w:numId w:val="20"/>
        </w:numPr>
      </w:pPr>
      <w:r>
        <w:t>Timeregnskab</w:t>
      </w:r>
    </w:p>
    <w:p w14:paraId="3B6FFC06" w14:textId="72BA64C6" w:rsidR="00D231C6" w:rsidRDefault="00D231C6" w:rsidP="00D231C6">
      <w:r>
        <w:lastRenderedPageBreak/>
        <w:t>L</w:t>
      </w:r>
      <w:r w:rsidRPr="00C308D3">
        <w:t xml:space="preserve">everandøren skal føre et timeregnskab i forbindelse med levering af </w:t>
      </w:r>
      <w:r>
        <w:t>Konsulenty</w:t>
      </w:r>
      <w:r w:rsidRPr="00C308D3">
        <w:t>delser</w:t>
      </w:r>
      <w:r w:rsidR="00EC0866">
        <w:t>, der giver Kunden indblik i det udførte arbejde</w:t>
      </w:r>
      <w:r w:rsidRPr="00C308D3">
        <w:t xml:space="preserve">. </w:t>
      </w:r>
      <w:r>
        <w:t>L</w:t>
      </w:r>
      <w:r w:rsidRPr="00C308D3">
        <w:t xml:space="preserve">everandøren skal herunder sikre, at dennes ressourcer fører timeregnskab med angivelse af, hvad tiden er blevet anvendt til. </w:t>
      </w:r>
      <w:r>
        <w:t xml:space="preserve">Leverandøren er ikke berettiget til særskilt </w:t>
      </w:r>
      <w:r w:rsidRPr="00C308D3">
        <w:t>vederlag for at føre timeregnskab.</w:t>
      </w:r>
    </w:p>
    <w:p w14:paraId="4FC5C485" w14:textId="77777777" w:rsidR="008560B8" w:rsidRDefault="008560B8" w:rsidP="00D231C6"/>
    <w:p w14:paraId="02FDF297" w14:textId="28A5FC14" w:rsidR="006600BA" w:rsidRDefault="00B52038" w:rsidP="006600BA">
      <w:r>
        <w:t>K</w:t>
      </w:r>
      <w:r w:rsidR="00C038AD">
        <w:t xml:space="preserve">onsulentydelser vedlægges </w:t>
      </w:r>
      <w:r>
        <w:t xml:space="preserve">på baggrund af </w:t>
      </w:r>
      <w:r w:rsidR="00C038AD">
        <w:t>fyldestgørende time</w:t>
      </w:r>
      <w:r w:rsidR="00B531D1">
        <w:t>regnskab</w:t>
      </w:r>
      <w:r w:rsidR="00C038AD">
        <w:t>.</w:t>
      </w:r>
      <w:r w:rsidR="00B531D1">
        <w:t xml:space="preserve"> </w:t>
      </w:r>
      <w:r w:rsidR="00D86278">
        <w:t xml:space="preserve">Timeregnskabet skal </w:t>
      </w:r>
      <w:r w:rsidR="00EC0866">
        <w:t xml:space="preserve">desuden </w:t>
      </w:r>
      <w:r w:rsidR="00D86278">
        <w:t>på Kundens begæring udleveres i kopi uden ugrundet ophold.</w:t>
      </w:r>
    </w:p>
    <w:p w14:paraId="5AA27850" w14:textId="77777777" w:rsidR="00C038AD" w:rsidRDefault="00C038AD" w:rsidP="006600BA"/>
    <w:p w14:paraId="1C512433" w14:textId="1753FB2F" w:rsidR="006600BA" w:rsidRDefault="006600BA" w:rsidP="006600BA">
      <w:pPr>
        <w:pStyle w:val="Overskrift2"/>
      </w:pPr>
      <w:bookmarkStart w:id="25" w:name="_Toc517163825"/>
      <w:r>
        <w:t>Vederlag for Optioner</w:t>
      </w:r>
      <w:bookmarkEnd w:id="25"/>
    </w:p>
    <w:p w14:paraId="76E55CEA" w14:textId="478F6516" w:rsidR="00E23476" w:rsidRDefault="00E23476" w:rsidP="00E23476">
      <w:pPr>
        <w:pStyle w:val="Listeafsnit"/>
        <w:numPr>
          <w:ilvl w:val="0"/>
          <w:numId w:val="20"/>
        </w:numPr>
      </w:pPr>
      <w:r>
        <w:t>Vederlag for Optioner</w:t>
      </w:r>
    </w:p>
    <w:p w14:paraId="0BD7FE1D" w14:textId="45F93619" w:rsidR="006600BA" w:rsidRDefault="007F208A" w:rsidP="006600BA">
      <w:r>
        <w:t xml:space="preserve">Såfremt Kunden udnytter en af de i Bilag 17.c angivne Optioner, da </w:t>
      </w:r>
      <w:r w:rsidR="006A04DE">
        <w:t xml:space="preserve">er Leverandøren berettiget til vederlag for levering og opfyldelse af den pågældende Option,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6A04DE">
        <w:t>.</w:t>
      </w:r>
    </w:p>
    <w:p w14:paraId="6FE67D01" w14:textId="77777777" w:rsidR="006A04DE" w:rsidRPr="006A04DE" w:rsidRDefault="006A04DE" w:rsidP="006A04DE"/>
    <w:p w14:paraId="026258B0" w14:textId="461CE970" w:rsidR="008B69A2" w:rsidRDefault="007335A8" w:rsidP="00A9639F">
      <w:pPr>
        <w:pStyle w:val="Overskrift1"/>
      </w:pPr>
      <w:bookmarkStart w:id="26" w:name="_Toc517163826"/>
      <w:r>
        <w:t>Kompensation</w:t>
      </w:r>
      <w:r w:rsidR="006A04DE">
        <w:t xml:space="preserve"> </w:t>
      </w:r>
      <w:r>
        <w:t xml:space="preserve">ved </w:t>
      </w:r>
      <w:r w:rsidR="006A04DE">
        <w:t>Kundens opsigelse</w:t>
      </w:r>
      <w:bookmarkEnd w:id="26"/>
    </w:p>
    <w:p w14:paraId="6FCBE900" w14:textId="47C6D41D" w:rsidR="00E23476" w:rsidRDefault="00E23476" w:rsidP="00E23476">
      <w:pPr>
        <w:pStyle w:val="Listeafsnit"/>
        <w:numPr>
          <w:ilvl w:val="0"/>
          <w:numId w:val="20"/>
        </w:numPr>
      </w:pPr>
      <w:bookmarkStart w:id="27" w:name="_Hlk505957738"/>
      <w:r>
        <w:t>Kompensation ved Kundens opsigelse</w:t>
      </w:r>
    </w:p>
    <w:bookmarkEnd w:id="27"/>
    <w:p w14:paraId="637BF2B0" w14:textId="2E1B8FC7" w:rsidR="00E71F8D" w:rsidRPr="0061011F" w:rsidRDefault="00E71F8D" w:rsidP="00E71F8D">
      <w:r w:rsidRPr="0061011F">
        <w:t xml:space="preserve">Såfremt Kunden opsiger Kontrakten efter uopsigelighedsperioden, jf. Kontraktens punkt 54.2, er Leverandøren berettiget til kompensation for opsigelsen. </w:t>
      </w:r>
    </w:p>
    <w:p w14:paraId="26E786F4" w14:textId="1EEA6FF3" w:rsidR="00E71F8D" w:rsidRPr="0061011F" w:rsidRDefault="00E71F8D" w:rsidP="00E71F8D"/>
    <w:p w14:paraId="22D5873C" w14:textId="00781C5F" w:rsidR="00D3412C" w:rsidRPr="0061011F" w:rsidRDefault="00D3412C" w:rsidP="00E71F8D">
      <w:r w:rsidRPr="0061011F">
        <w:rPr>
          <w:highlight w:val="yellow"/>
        </w:rPr>
        <w:t xml:space="preserve">[I nedenstående afsnit angives procentsats for størrelsen på Leverandørens kompensation i klammerne. </w:t>
      </w:r>
      <w:r w:rsidR="00E244B3">
        <w:rPr>
          <w:highlight w:val="yellow"/>
        </w:rPr>
        <w:t>I standardbilaget</w:t>
      </w:r>
      <w:r w:rsidR="0061011F" w:rsidRPr="0061011F">
        <w:rPr>
          <w:highlight w:val="yellow"/>
        </w:rPr>
        <w:t xml:space="preserve"> </w:t>
      </w:r>
      <w:r w:rsidR="00E244B3">
        <w:rPr>
          <w:highlight w:val="yellow"/>
        </w:rPr>
        <w:t>e</w:t>
      </w:r>
      <w:r w:rsidR="0061011F" w:rsidRPr="0061011F">
        <w:rPr>
          <w:highlight w:val="yellow"/>
        </w:rPr>
        <w:t>r</w:t>
      </w:r>
      <w:r w:rsidR="00E244B3">
        <w:rPr>
          <w:highlight w:val="yellow"/>
        </w:rPr>
        <w:t xml:space="preserve"> der</w:t>
      </w:r>
      <w:r w:rsidR="0061011F" w:rsidRPr="0061011F">
        <w:rPr>
          <w:highlight w:val="yellow"/>
        </w:rPr>
        <w:t xml:space="preserve"> angivet ”0-50 %”, hvilket er udtryk for, hvilket spektrum satsen typisk befinder sig i.</w:t>
      </w:r>
      <w:r w:rsidR="00B52038">
        <w:rPr>
          <w:highlight w:val="yellow"/>
        </w:rPr>
        <w:t xml:space="preserve"> Hvis ”0 %” slettes afsnittet.</w:t>
      </w:r>
      <w:r w:rsidR="0061011F" w:rsidRPr="0061011F">
        <w:rPr>
          <w:highlight w:val="yellow"/>
        </w:rPr>
        <w:t xml:space="preserve"> Den faktiske procentsats er en forretningsmæssig beslutning</w:t>
      </w:r>
      <w:r w:rsidR="0061011F">
        <w:rPr>
          <w:highlight w:val="yellow"/>
        </w:rPr>
        <w:t xml:space="preserve">, der </w:t>
      </w:r>
      <w:r w:rsidR="00B52038">
        <w:rPr>
          <w:highlight w:val="yellow"/>
        </w:rPr>
        <w:t>kan have</w:t>
      </w:r>
      <w:r w:rsidR="0061011F">
        <w:rPr>
          <w:highlight w:val="yellow"/>
        </w:rPr>
        <w:t xml:space="preserve"> betydning for Leverandørens vurderingen af Kontrakten</w:t>
      </w:r>
      <w:r w:rsidR="0061011F" w:rsidRPr="0061011F">
        <w:rPr>
          <w:highlight w:val="yellow"/>
        </w:rPr>
        <w:t>.</w:t>
      </w:r>
      <w:r w:rsidR="00E244B3">
        <w:rPr>
          <w:highlight w:val="yellow"/>
        </w:rPr>
        <w:t xml:space="preserve"> Der kan alternativt anvendes andre modeller, f.eks. hvor procentsatsen afhænger af, hvor lang tid der er tilbage af kontraktens løbetid.</w:t>
      </w:r>
      <w:r w:rsidR="0061011F" w:rsidRPr="0061011F">
        <w:rPr>
          <w:highlight w:val="yellow"/>
        </w:rPr>
        <w:t>]</w:t>
      </w:r>
    </w:p>
    <w:p w14:paraId="175661F8" w14:textId="77777777" w:rsidR="00D3412C" w:rsidRPr="0061011F" w:rsidRDefault="00D3412C" w:rsidP="00E71F8D"/>
    <w:p w14:paraId="112A86AE" w14:textId="54CE0275" w:rsidR="00E71F8D" w:rsidRDefault="00E71F8D" w:rsidP="003965BD">
      <w:pPr>
        <w:rPr>
          <w:szCs w:val="23"/>
        </w:rPr>
      </w:pPr>
      <w:r w:rsidRPr="0061011F">
        <w:t xml:space="preserve">Størrelsen på Leverandørens kompensation ved Kundens opsigelse efter uopsigelighedsperioden </w:t>
      </w:r>
      <w:r w:rsidR="0082182E" w:rsidRPr="0061011F">
        <w:t>udgør</w:t>
      </w:r>
      <w:r w:rsidRPr="0061011F">
        <w:t xml:space="preserve"> </w:t>
      </w:r>
      <w:r w:rsidR="0082182E" w:rsidRPr="0061011F">
        <w:t>[</w:t>
      </w:r>
      <w:r w:rsidR="00483B77" w:rsidRPr="005112F0">
        <w:rPr>
          <w:highlight w:val="yellow"/>
        </w:rPr>
        <w:t>0-50</w:t>
      </w:r>
      <w:r w:rsidR="0082182E" w:rsidRPr="005112F0">
        <w:rPr>
          <w:highlight w:val="yellow"/>
        </w:rPr>
        <w:t xml:space="preserve"> %</w:t>
      </w:r>
      <w:r w:rsidR="0082182E" w:rsidRPr="0061011F">
        <w:t xml:space="preserve">] </w:t>
      </w:r>
      <w:r w:rsidRPr="0061011F">
        <w:t>af det samlede vederlag for de Løbende Ydelser</w:t>
      </w:r>
      <w:r w:rsidR="00E244B3">
        <w:t xml:space="preserve"> i Kontraktens resterende ordinære løbetid</w:t>
      </w:r>
      <w:r w:rsidRPr="0061011F">
        <w:t xml:space="preserve">. </w:t>
      </w:r>
      <w:r w:rsidRPr="0061011F">
        <w:rPr>
          <w:szCs w:val="23"/>
        </w:rPr>
        <w:t>I denne sammenhæng fastsættes det samlede vederlag for de Løbende Ydelser</w:t>
      </w:r>
      <w:r w:rsidR="00AB07CD">
        <w:rPr>
          <w:szCs w:val="23"/>
        </w:rPr>
        <w:t>,</w:t>
      </w:r>
      <w:r w:rsidRPr="0061011F">
        <w:rPr>
          <w:szCs w:val="23"/>
        </w:rPr>
        <w:t xml:space="preserve"> som det månedlige vederlag for Løbende Ydelser på tidspunktet for Kundens opsigelse multipliceret med det resterende antal måneder i Kontraktens løbetid.</w:t>
      </w:r>
    </w:p>
    <w:p w14:paraId="48E9973F" w14:textId="64BA7895" w:rsidR="00A87525" w:rsidRDefault="00A87525" w:rsidP="003965BD">
      <w:pPr>
        <w:rPr>
          <w:szCs w:val="23"/>
        </w:rPr>
      </w:pPr>
    </w:p>
    <w:p w14:paraId="60B0E762" w14:textId="1DEC31EF" w:rsidR="00A87525" w:rsidRDefault="00A87525" w:rsidP="003965BD">
      <w:pPr>
        <w:rPr>
          <w:szCs w:val="23"/>
        </w:rPr>
      </w:pPr>
      <w:r>
        <w:rPr>
          <w:szCs w:val="23"/>
        </w:rPr>
        <w:t>I tilfælde af delvis opsigelse af Kontrakten gælder ovenstående for så vidt angår det vederlag,</w:t>
      </w:r>
      <w:r w:rsidR="007463DC">
        <w:rPr>
          <w:szCs w:val="23"/>
        </w:rPr>
        <w:t xml:space="preserve"> jf.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7463DC">
        <w:rPr>
          <w:szCs w:val="23"/>
        </w:rPr>
        <w:t xml:space="preserve"> (Enhedspriser),</w:t>
      </w:r>
      <w:r>
        <w:rPr>
          <w:szCs w:val="23"/>
        </w:rPr>
        <w:t xml:space="preserve"> der kan henføres til de</w:t>
      </w:r>
      <w:r w:rsidR="007463DC">
        <w:rPr>
          <w:szCs w:val="23"/>
        </w:rPr>
        <w:t>n eller de</w:t>
      </w:r>
      <w:r>
        <w:rPr>
          <w:szCs w:val="23"/>
        </w:rPr>
        <w:t xml:space="preserve"> Løbende Ydelser, som opsige</w:t>
      </w:r>
      <w:r w:rsidR="007463DC">
        <w:rPr>
          <w:szCs w:val="23"/>
        </w:rPr>
        <w:t>l</w:t>
      </w:r>
      <w:r>
        <w:rPr>
          <w:szCs w:val="23"/>
        </w:rPr>
        <w:t>s</w:t>
      </w:r>
      <w:r w:rsidR="007463DC">
        <w:rPr>
          <w:szCs w:val="23"/>
        </w:rPr>
        <w:t>en omfatter</w:t>
      </w:r>
      <w:r>
        <w:rPr>
          <w:szCs w:val="23"/>
        </w:rPr>
        <w:t>.</w:t>
      </w:r>
    </w:p>
    <w:p w14:paraId="421BA2C4" w14:textId="77777777" w:rsidR="003965BD" w:rsidRPr="003965BD" w:rsidRDefault="003965BD" w:rsidP="003965BD">
      <w:pPr>
        <w:rPr>
          <w:highlight w:val="yellow"/>
        </w:rPr>
      </w:pPr>
    </w:p>
    <w:p w14:paraId="038721D8" w14:textId="607CA823" w:rsidR="00A9639F" w:rsidRDefault="00A9639F" w:rsidP="008B69A2">
      <w:pPr>
        <w:pStyle w:val="Overskrift1"/>
      </w:pPr>
      <w:bookmarkStart w:id="28" w:name="_Ref506192028"/>
      <w:bookmarkStart w:id="29" w:name="_Toc517163827"/>
      <w:r>
        <w:t>Fakturering</w:t>
      </w:r>
      <w:bookmarkEnd w:id="28"/>
      <w:bookmarkEnd w:id="29"/>
    </w:p>
    <w:p w14:paraId="294B439F" w14:textId="3E9CC4F7" w:rsidR="00AF36A9" w:rsidRDefault="00AF36A9" w:rsidP="00AF36A9">
      <w:pPr>
        <w:pStyle w:val="Overskrift2"/>
      </w:pPr>
      <w:bookmarkStart w:id="30" w:name="_Toc517163828"/>
      <w:r>
        <w:t>Generelt</w:t>
      </w:r>
      <w:bookmarkEnd w:id="30"/>
    </w:p>
    <w:p w14:paraId="1F3D1877" w14:textId="1EDA666F" w:rsidR="00AF36A9" w:rsidRDefault="00AF36A9" w:rsidP="00AF36A9">
      <w:r>
        <w:t>Forinden Leverandøren fakturerer vederlag</w:t>
      </w:r>
      <w:r w:rsidR="00291A72">
        <w:t xml:space="preserve"> skal Leverandøren påse, at følgende typiske fejl ikke er indeholdt i Leverandørens påtænkte faktura:</w:t>
      </w:r>
    </w:p>
    <w:p w14:paraId="519F52D3" w14:textId="6839542C" w:rsidR="00291A72" w:rsidRPr="00AD496E" w:rsidRDefault="00291A72" w:rsidP="00AF36A9">
      <w:pPr>
        <w:rPr>
          <w:i/>
          <w:iCs/>
          <w:szCs w:val="23"/>
        </w:rPr>
      </w:pPr>
    </w:p>
    <w:p w14:paraId="4D545B34" w14:textId="06522C92" w:rsidR="00291A72" w:rsidRDefault="00323CC2" w:rsidP="003721AD">
      <w:pPr>
        <w:pStyle w:val="Listeafsnit"/>
        <w:numPr>
          <w:ilvl w:val="1"/>
          <w:numId w:val="22"/>
        </w:numPr>
        <w:ind w:left="709"/>
      </w:pPr>
      <w:r w:rsidRPr="003721AD">
        <w:rPr>
          <w:i/>
          <w:iCs/>
          <w:szCs w:val="23"/>
        </w:rPr>
        <w:t>Vederlag efter medgået tid</w:t>
      </w:r>
      <w:r w:rsidR="00291A72" w:rsidRPr="003721AD">
        <w:rPr>
          <w:i/>
          <w:iCs/>
          <w:szCs w:val="23"/>
        </w:rPr>
        <w:t xml:space="preserve">: </w:t>
      </w:r>
      <w:r w:rsidR="00291A72" w:rsidRPr="003721AD">
        <w:rPr>
          <w:iCs/>
          <w:szCs w:val="23"/>
        </w:rPr>
        <w:t>Der faktureres for mange timer i forhold til, hvad der er forbrugt eller timeprisen</w:t>
      </w:r>
      <w:r w:rsidR="00061129" w:rsidRPr="003721AD">
        <w:rPr>
          <w:iCs/>
          <w:szCs w:val="23"/>
        </w:rPr>
        <w:t xml:space="preserve"> </w:t>
      </w:r>
      <w:r w:rsidR="00291A72" w:rsidRPr="00AD496E">
        <w:t>er forkert.</w:t>
      </w:r>
    </w:p>
    <w:p w14:paraId="70C8A27B" w14:textId="77777777" w:rsidR="00AD496E" w:rsidRPr="00AD496E" w:rsidRDefault="00AD496E" w:rsidP="00AD496E">
      <w:pPr>
        <w:rPr>
          <w:iCs/>
          <w:szCs w:val="23"/>
        </w:rPr>
      </w:pPr>
    </w:p>
    <w:p w14:paraId="250040D6" w14:textId="19848A4C" w:rsidR="00AD496E" w:rsidRPr="003721AD" w:rsidRDefault="00AD496E" w:rsidP="003721AD">
      <w:pPr>
        <w:pStyle w:val="Listeafsnit"/>
        <w:numPr>
          <w:ilvl w:val="0"/>
          <w:numId w:val="22"/>
        </w:numPr>
        <w:rPr>
          <w:iCs/>
          <w:szCs w:val="23"/>
        </w:rPr>
      </w:pPr>
      <w:r w:rsidRPr="00AD496E">
        <w:rPr>
          <w:i/>
          <w:iCs/>
          <w:szCs w:val="23"/>
        </w:rPr>
        <w:t xml:space="preserve">Andre variabelt afregnede </w:t>
      </w:r>
      <w:r w:rsidR="00323CC2">
        <w:rPr>
          <w:i/>
          <w:iCs/>
          <w:szCs w:val="23"/>
        </w:rPr>
        <w:t>Y</w:t>
      </w:r>
      <w:r w:rsidRPr="00AD496E">
        <w:rPr>
          <w:i/>
          <w:iCs/>
          <w:szCs w:val="23"/>
        </w:rPr>
        <w:t xml:space="preserve">delser: </w:t>
      </w:r>
      <w:r w:rsidRPr="00AD496E">
        <w:rPr>
          <w:iCs/>
          <w:szCs w:val="23"/>
        </w:rPr>
        <w:t>Der faktureres for en forkert volumen eller mængderabatter er ikke</w:t>
      </w:r>
      <w:r w:rsidR="00061129">
        <w:rPr>
          <w:iCs/>
          <w:szCs w:val="23"/>
        </w:rPr>
        <w:t xml:space="preserve"> </w:t>
      </w:r>
      <w:r w:rsidRPr="003721AD">
        <w:rPr>
          <w:iCs/>
          <w:szCs w:val="23"/>
        </w:rPr>
        <w:t>indregnet.</w:t>
      </w:r>
    </w:p>
    <w:p w14:paraId="43E8EAE9" w14:textId="77777777" w:rsidR="00AD496E" w:rsidRPr="00AD496E" w:rsidRDefault="00AD496E" w:rsidP="00AD496E">
      <w:pPr>
        <w:rPr>
          <w:i/>
          <w:iCs/>
          <w:szCs w:val="23"/>
        </w:rPr>
      </w:pPr>
    </w:p>
    <w:p w14:paraId="7A5F0EEC" w14:textId="5B51A548" w:rsidR="00291A72" w:rsidRPr="003721AD" w:rsidRDefault="00AD496E" w:rsidP="003721AD">
      <w:pPr>
        <w:pStyle w:val="Listeafsnit"/>
        <w:numPr>
          <w:ilvl w:val="0"/>
          <w:numId w:val="22"/>
        </w:numPr>
        <w:rPr>
          <w:szCs w:val="23"/>
        </w:rPr>
      </w:pPr>
      <w:r w:rsidRPr="003721AD">
        <w:rPr>
          <w:i/>
          <w:iCs/>
          <w:szCs w:val="23"/>
        </w:rPr>
        <w:t xml:space="preserve">Bod: </w:t>
      </w:r>
      <w:r w:rsidRPr="003721AD">
        <w:rPr>
          <w:szCs w:val="23"/>
        </w:rPr>
        <w:t>Der er ikke medregnet bod i fakturaen.</w:t>
      </w:r>
    </w:p>
    <w:p w14:paraId="3BFF76BD" w14:textId="527AFBE3" w:rsidR="00AD496E" w:rsidRDefault="00AD496E" w:rsidP="00AF36A9"/>
    <w:p w14:paraId="531E1B64" w14:textId="453A9E24" w:rsidR="00AD496E" w:rsidRPr="003721AD" w:rsidRDefault="00323CC2" w:rsidP="003721AD">
      <w:pPr>
        <w:pStyle w:val="Listeafsnit"/>
        <w:numPr>
          <w:ilvl w:val="0"/>
          <w:numId w:val="22"/>
        </w:numPr>
        <w:rPr>
          <w:szCs w:val="23"/>
        </w:rPr>
      </w:pPr>
      <w:r w:rsidRPr="003721AD">
        <w:rPr>
          <w:i/>
          <w:iCs/>
          <w:szCs w:val="23"/>
        </w:rPr>
        <w:t>Ydelser</w:t>
      </w:r>
      <w:r w:rsidR="00AD496E" w:rsidRPr="003721AD">
        <w:rPr>
          <w:i/>
          <w:iCs/>
          <w:szCs w:val="23"/>
        </w:rPr>
        <w:t xml:space="preserve">: </w:t>
      </w:r>
      <w:r w:rsidR="00AD496E" w:rsidRPr="003721AD">
        <w:rPr>
          <w:szCs w:val="23"/>
        </w:rPr>
        <w:t xml:space="preserve">Der faktureres for </w:t>
      </w:r>
      <w:r w:rsidRPr="003721AD">
        <w:rPr>
          <w:szCs w:val="23"/>
        </w:rPr>
        <w:t>Ydelser</w:t>
      </w:r>
      <w:r w:rsidR="00AD496E" w:rsidRPr="003721AD">
        <w:rPr>
          <w:szCs w:val="23"/>
        </w:rPr>
        <w:t xml:space="preserve"> (fx </w:t>
      </w:r>
      <w:r w:rsidRPr="003721AD">
        <w:rPr>
          <w:szCs w:val="23"/>
        </w:rPr>
        <w:t>Kontraktuelle Ændringer eller Operationelle Tilpasninger</w:t>
      </w:r>
      <w:r w:rsidR="00AD496E" w:rsidRPr="003721AD">
        <w:rPr>
          <w:szCs w:val="23"/>
        </w:rPr>
        <w:t xml:space="preserve">), som ikke er leveret eller ikke er </w:t>
      </w:r>
      <w:r w:rsidRPr="003721AD">
        <w:rPr>
          <w:szCs w:val="23"/>
        </w:rPr>
        <w:t>aftalt</w:t>
      </w:r>
      <w:r w:rsidR="00AD496E" w:rsidRPr="003721AD">
        <w:rPr>
          <w:szCs w:val="23"/>
        </w:rPr>
        <w:t>.</w:t>
      </w:r>
    </w:p>
    <w:p w14:paraId="1215B6C0" w14:textId="6610B0B3" w:rsidR="00AD496E" w:rsidRDefault="00AD496E" w:rsidP="00AF36A9"/>
    <w:p w14:paraId="2957B1C6" w14:textId="63DC92CC" w:rsidR="00AD496E" w:rsidRPr="003721AD" w:rsidRDefault="00AD496E" w:rsidP="003721AD">
      <w:pPr>
        <w:pStyle w:val="Listeafsnit"/>
        <w:numPr>
          <w:ilvl w:val="0"/>
          <w:numId w:val="22"/>
        </w:numPr>
        <w:rPr>
          <w:szCs w:val="23"/>
        </w:rPr>
      </w:pPr>
      <w:r w:rsidRPr="003721AD">
        <w:rPr>
          <w:i/>
          <w:iCs/>
          <w:szCs w:val="23"/>
        </w:rPr>
        <w:t xml:space="preserve">Ydelser indeholdt i fast vederlag: </w:t>
      </w:r>
      <w:r w:rsidRPr="003721AD">
        <w:rPr>
          <w:szCs w:val="23"/>
        </w:rPr>
        <w:t xml:space="preserve">Der faktureres særskilt for </w:t>
      </w:r>
      <w:r w:rsidR="00323CC2" w:rsidRPr="003721AD">
        <w:rPr>
          <w:szCs w:val="23"/>
        </w:rPr>
        <w:t>Y</w:t>
      </w:r>
      <w:r w:rsidRPr="003721AD">
        <w:rPr>
          <w:szCs w:val="23"/>
        </w:rPr>
        <w:t xml:space="preserve">delser, som allerede er indeholdt i de faste vederlag. </w:t>
      </w:r>
    </w:p>
    <w:p w14:paraId="350369E4" w14:textId="5F02216C" w:rsidR="00AD496E" w:rsidRDefault="00AD496E" w:rsidP="00AF36A9"/>
    <w:p w14:paraId="6FC92504" w14:textId="213CB71D" w:rsidR="00AD496E" w:rsidRPr="003721AD" w:rsidRDefault="00AD496E" w:rsidP="003721AD">
      <w:pPr>
        <w:pStyle w:val="Listeafsnit"/>
        <w:numPr>
          <w:ilvl w:val="0"/>
          <w:numId w:val="22"/>
        </w:numPr>
        <w:rPr>
          <w:szCs w:val="23"/>
        </w:rPr>
      </w:pPr>
      <w:r w:rsidRPr="003721AD">
        <w:rPr>
          <w:i/>
          <w:iCs/>
          <w:szCs w:val="23"/>
        </w:rPr>
        <w:t xml:space="preserve">Prisregulering: </w:t>
      </w:r>
      <w:r w:rsidRPr="003721AD">
        <w:rPr>
          <w:szCs w:val="23"/>
        </w:rPr>
        <w:t xml:space="preserve">Priser reguleres forkert i forhold til </w:t>
      </w:r>
      <w:r w:rsidR="00323CC2" w:rsidRPr="003721AD">
        <w:rPr>
          <w:szCs w:val="23"/>
        </w:rPr>
        <w:t>K</w:t>
      </w:r>
      <w:r w:rsidRPr="003721AD">
        <w:rPr>
          <w:szCs w:val="23"/>
        </w:rPr>
        <w:t xml:space="preserve">ontraktens bestemmelser. Fx at </w:t>
      </w:r>
      <w:r w:rsidR="00C61C10" w:rsidRPr="003721AD">
        <w:rPr>
          <w:szCs w:val="23"/>
        </w:rPr>
        <w:t xml:space="preserve">årlig nedregulering af fast månedligt vederlag ikke er sket, jf. nedenfor i punkt </w:t>
      </w:r>
      <w:r w:rsidR="00C61C10" w:rsidRPr="003721AD">
        <w:rPr>
          <w:szCs w:val="23"/>
        </w:rPr>
        <w:fldChar w:fldCharType="begin"/>
      </w:r>
      <w:r w:rsidR="00C61C10" w:rsidRPr="003721AD">
        <w:rPr>
          <w:szCs w:val="23"/>
        </w:rPr>
        <w:instrText xml:space="preserve"> REF _Ref511889468 \r \h </w:instrText>
      </w:r>
      <w:r w:rsidR="00C61C10" w:rsidRPr="003721AD">
        <w:rPr>
          <w:szCs w:val="23"/>
        </w:rPr>
      </w:r>
      <w:r w:rsidR="00C61C10" w:rsidRPr="003721AD">
        <w:rPr>
          <w:szCs w:val="23"/>
        </w:rPr>
        <w:fldChar w:fldCharType="separate"/>
      </w:r>
      <w:r w:rsidR="00826932">
        <w:rPr>
          <w:szCs w:val="23"/>
        </w:rPr>
        <w:t>7</w:t>
      </w:r>
      <w:r w:rsidR="00C61C10" w:rsidRPr="003721AD">
        <w:rPr>
          <w:szCs w:val="23"/>
        </w:rPr>
        <w:fldChar w:fldCharType="end"/>
      </w:r>
      <w:r w:rsidRPr="003721AD">
        <w:rPr>
          <w:szCs w:val="23"/>
        </w:rPr>
        <w:t>.</w:t>
      </w:r>
    </w:p>
    <w:p w14:paraId="7885C67E" w14:textId="3F1CC928" w:rsidR="00AD496E" w:rsidRDefault="00AD496E" w:rsidP="00AF36A9"/>
    <w:p w14:paraId="4E5DE743" w14:textId="71A9F7C3" w:rsidR="00AD496E" w:rsidRPr="00AF36A9" w:rsidRDefault="00AD496E" w:rsidP="003721AD">
      <w:pPr>
        <w:pStyle w:val="Listeafsnit"/>
        <w:numPr>
          <w:ilvl w:val="0"/>
          <w:numId w:val="22"/>
        </w:numPr>
      </w:pPr>
      <w:r w:rsidRPr="003721AD">
        <w:rPr>
          <w:i/>
          <w:iCs/>
          <w:szCs w:val="23"/>
        </w:rPr>
        <w:t xml:space="preserve">Priser matcher ikke prisbilaget: </w:t>
      </w:r>
      <w:r w:rsidRPr="003721AD">
        <w:rPr>
          <w:szCs w:val="23"/>
        </w:rPr>
        <w:t xml:space="preserve">Der anvendes andre priser som udgangspunkt for faktureringen end de, der er angivet i </w:t>
      </w:r>
      <w:r w:rsidR="00C61C10" w:rsidRPr="003721AD">
        <w:rPr>
          <w:szCs w:val="23"/>
        </w:rPr>
        <w:t>K</w:t>
      </w:r>
      <w:r w:rsidRPr="003721AD">
        <w:rPr>
          <w:szCs w:val="23"/>
        </w:rPr>
        <w:t xml:space="preserve">ontraktens </w:t>
      </w:r>
      <w:r w:rsidR="004E303C">
        <w:fldChar w:fldCharType="begin"/>
      </w:r>
      <w:r w:rsidR="004E303C">
        <w:instrText xml:space="preserve"> REF _Ref512414612 \r \h </w:instrText>
      </w:r>
      <w:r w:rsidR="004E303C">
        <w:fldChar w:fldCharType="separate"/>
      </w:r>
      <w:r w:rsidR="00826932">
        <w:t>Bilag 20.a</w:t>
      </w:r>
      <w:r w:rsidR="004E303C">
        <w:fldChar w:fldCharType="end"/>
      </w:r>
      <w:r w:rsidRPr="003721AD">
        <w:rPr>
          <w:szCs w:val="23"/>
        </w:rPr>
        <w:t xml:space="preserve">. Eller </w:t>
      </w:r>
      <w:r w:rsidR="00C61C10" w:rsidRPr="003721AD">
        <w:rPr>
          <w:szCs w:val="23"/>
        </w:rPr>
        <w:t>Y</w:t>
      </w:r>
      <w:r w:rsidRPr="003721AD">
        <w:rPr>
          <w:szCs w:val="23"/>
        </w:rPr>
        <w:t xml:space="preserve">delser faktureres med et andet interval end angivet i kontrakten – fx </w:t>
      </w:r>
      <w:r w:rsidR="00C61C10" w:rsidRPr="003721AD">
        <w:rPr>
          <w:szCs w:val="23"/>
        </w:rPr>
        <w:t>løbende</w:t>
      </w:r>
      <w:r w:rsidRPr="003721AD">
        <w:rPr>
          <w:szCs w:val="23"/>
        </w:rPr>
        <w:t xml:space="preserve"> i stedet for </w:t>
      </w:r>
      <w:r w:rsidR="00C61C10" w:rsidRPr="003721AD">
        <w:rPr>
          <w:szCs w:val="23"/>
        </w:rPr>
        <w:t>månedligt</w:t>
      </w:r>
      <w:r w:rsidRPr="003721AD">
        <w:rPr>
          <w:szCs w:val="23"/>
        </w:rPr>
        <w:t>.</w:t>
      </w:r>
    </w:p>
    <w:p w14:paraId="61858732" w14:textId="77777777" w:rsidR="00AF36A9" w:rsidRPr="00AF36A9" w:rsidRDefault="00AF36A9" w:rsidP="00AF36A9"/>
    <w:p w14:paraId="5C7AD43E" w14:textId="0CBA545D" w:rsidR="00483B77" w:rsidRDefault="00483B77" w:rsidP="00483B77">
      <w:pPr>
        <w:pStyle w:val="Listeafsnit"/>
        <w:numPr>
          <w:ilvl w:val="0"/>
          <w:numId w:val="20"/>
        </w:numPr>
      </w:pPr>
      <w:bookmarkStart w:id="31" w:name="_Ref506219361"/>
      <w:r>
        <w:t>Faktureringsplan</w:t>
      </w:r>
      <w:bookmarkEnd w:id="31"/>
      <w:r w:rsidR="00BC5A0B">
        <w:t xml:space="preserve"> for </w:t>
      </w:r>
      <w:r w:rsidR="00775DA6">
        <w:t>Indledende Ydelser</w:t>
      </w:r>
    </w:p>
    <w:p w14:paraId="49D876D2" w14:textId="63432396" w:rsidR="00483B77" w:rsidRDefault="00776DEC" w:rsidP="00483B77">
      <w:r>
        <w:t xml:space="preserve">Leverandøren </w:t>
      </w:r>
      <w:r w:rsidR="005112F0">
        <w:t xml:space="preserve">skal </w:t>
      </w:r>
      <w:r>
        <w:t xml:space="preserve">fakturere vederlaget for </w:t>
      </w:r>
      <w:r w:rsidR="00775DA6">
        <w:t>Indledende Ydelser</w:t>
      </w:r>
      <w:r>
        <w:t xml:space="preserve"> efter nedenstående faktureringsplan. </w:t>
      </w:r>
    </w:p>
    <w:p w14:paraId="152F5BC4" w14:textId="0FDB082B" w:rsidR="005112F0" w:rsidRDefault="005112F0" w:rsidP="00483B77"/>
    <w:p w14:paraId="60D5211A" w14:textId="793C187C" w:rsidR="005112F0" w:rsidRDefault="005112F0" w:rsidP="00483B77">
      <w:r>
        <w:t>[</w:t>
      </w:r>
      <w:r w:rsidRPr="00BA5296">
        <w:rPr>
          <w:highlight w:val="yellow"/>
        </w:rPr>
        <w:t xml:space="preserve">Nedenstående </w:t>
      </w:r>
      <w:r w:rsidR="00C30BC4" w:rsidRPr="00BA5296">
        <w:rPr>
          <w:highlight w:val="yellow"/>
        </w:rPr>
        <w:t xml:space="preserve">faktureringsplan </w:t>
      </w:r>
      <w:r w:rsidR="00AD274B">
        <w:rPr>
          <w:highlight w:val="yellow"/>
        </w:rPr>
        <w:t>skal</w:t>
      </w:r>
      <w:r w:rsidR="00C30BC4" w:rsidRPr="00BA5296">
        <w:rPr>
          <w:highlight w:val="yellow"/>
        </w:rPr>
        <w:t xml:space="preserve"> tilpasses den konkrete situation. Dog bemærkes</w:t>
      </w:r>
      <w:r w:rsidR="00A81BC7" w:rsidRPr="00BA5296">
        <w:rPr>
          <w:highlight w:val="yellow"/>
        </w:rPr>
        <w:t xml:space="preserve"> at den akkumulerede andel af vederlaget skal give 100 % ved sidste milepæl. Derudover bemærkes, at Leverandøren ved forudbetalinger skal stille anfordringsgaranti, jf. Kontraktens pkt. 40.]</w:t>
      </w:r>
    </w:p>
    <w:p w14:paraId="57EA291C" w14:textId="77777777" w:rsidR="00A81BC7" w:rsidRDefault="00A81BC7" w:rsidP="00483B77"/>
    <w:tbl>
      <w:tblPr>
        <w:tblStyle w:val="Listetabel4-farve5"/>
        <w:tblW w:w="8364" w:type="dxa"/>
        <w:tblInd w:w="-5" w:type="dxa"/>
        <w:tblLayout w:type="fixed"/>
        <w:tblLook w:val="04A0" w:firstRow="1" w:lastRow="0" w:firstColumn="1" w:lastColumn="0" w:noHBand="0" w:noVBand="1"/>
        <w:tblCaption w:val="Faktureringsplan for Indledende Ydelser"/>
        <w:tblDescription w:val="Leverandøren skal i denne tabel fakturere vederlaget for Indledende Ydelser efter nedenstående faktureringsplan. &#10;"/>
      </w:tblPr>
      <w:tblGrid>
        <w:gridCol w:w="3261"/>
        <w:gridCol w:w="2249"/>
        <w:gridCol w:w="2854"/>
      </w:tblGrid>
      <w:tr w:rsidR="00951700" w:rsidRPr="00E063CF" w14:paraId="14495A78" w14:textId="39AB1CC3" w:rsidTr="00563ADA">
        <w:trPr>
          <w:cnfStyle w:val="100000000000" w:firstRow="1" w:lastRow="0" w:firstColumn="0" w:lastColumn="0" w:oddVBand="0" w:evenVBand="0" w:oddHBand="0" w:evenHBand="0" w:firstRowFirstColumn="0" w:firstRowLastColumn="0" w:lastRowFirstColumn="0" w:lastRowLastColumn="0"/>
          <w:trHeight w:val="689"/>
          <w:tblHeader/>
        </w:trPr>
        <w:tc>
          <w:tcPr>
            <w:cnfStyle w:val="001000000000" w:firstRow="0" w:lastRow="0" w:firstColumn="1" w:lastColumn="0" w:oddVBand="0" w:evenVBand="0" w:oddHBand="0" w:evenHBand="0" w:firstRowFirstColumn="0" w:firstRowLastColumn="0" w:lastRowFirstColumn="0" w:lastRowLastColumn="0"/>
            <w:tcW w:w="3261" w:type="dxa"/>
            <w:vAlign w:val="center"/>
          </w:tcPr>
          <w:p w14:paraId="6082B8FC" w14:textId="44CBF788" w:rsidR="008315CA" w:rsidRPr="00E063CF" w:rsidRDefault="008315CA" w:rsidP="00C30BC4">
            <w:pPr>
              <w:keepLines/>
              <w:spacing w:before="180" w:line="0" w:lineRule="atLeast"/>
              <w:rPr>
                <w:color w:val="auto"/>
                <w:spacing w:val="-5"/>
                <w:sz w:val="23"/>
                <w:szCs w:val="23"/>
                <w:lang w:eastAsia="en-US"/>
              </w:rPr>
            </w:pPr>
            <w:r w:rsidRPr="00E063CF">
              <w:rPr>
                <w:color w:val="auto"/>
                <w:spacing w:val="-5"/>
                <w:sz w:val="23"/>
                <w:szCs w:val="23"/>
                <w:lang w:eastAsia="en-US"/>
              </w:rPr>
              <w:t>Milepæle</w:t>
            </w:r>
          </w:p>
        </w:tc>
        <w:tc>
          <w:tcPr>
            <w:tcW w:w="2249" w:type="dxa"/>
            <w:vAlign w:val="center"/>
          </w:tcPr>
          <w:p w14:paraId="11FF9023" w14:textId="21B92D5A" w:rsidR="008315CA" w:rsidRPr="00E063CF" w:rsidRDefault="008315CA" w:rsidP="00C30BC4">
            <w:pPr>
              <w:keepLines/>
              <w:spacing w:before="180" w:line="0" w:lineRule="atLeast"/>
              <w:cnfStyle w:val="100000000000" w:firstRow="1" w:lastRow="0" w:firstColumn="0" w:lastColumn="0" w:oddVBand="0" w:evenVBand="0" w:oddHBand="0" w:evenHBand="0" w:firstRowFirstColumn="0" w:firstRowLastColumn="0" w:lastRowFirstColumn="0" w:lastRowLastColumn="0"/>
              <w:rPr>
                <w:color w:val="auto"/>
                <w:spacing w:val="-5"/>
                <w:sz w:val="23"/>
                <w:szCs w:val="23"/>
                <w:lang w:eastAsia="en-US"/>
              </w:rPr>
            </w:pPr>
            <w:r w:rsidRPr="00E063CF">
              <w:rPr>
                <w:color w:val="auto"/>
                <w:spacing w:val="-5"/>
                <w:sz w:val="23"/>
                <w:szCs w:val="23"/>
                <w:lang w:eastAsia="en-US"/>
              </w:rPr>
              <w:t>Andel af vederlag</w:t>
            </w:r>
            <w:r w:rsidR="00D27C80" w:rsidRPr="00E063CF">
              <w:rPr>
                <w:color w:val="auto"/>
                <w:spacing w:val="-5"/>
                <w:sz w:val="23"/>
                <w:szCs w:val="23"/>
                <w:lang w:eastAsia="en-US"/>
              </w:rPr>
              <w:t xml:space="preserve"> for </w:t>
            </w:r>
            <w:r w:rsidR="00775DA6" w:rsidRPr="00E063CF">
              <w:rPr>
                <w:color w:val="auto"/>
                <w:spacing w:val="-5"/>
                <w:sz w:val="23"/>
                <w:szCs w:val="23"/>
                <w:lang w:eastAsia="en-US"/>
              </w:rPr>
              <w:t>Indledende Ydelser</w:t>
            </w:r>
          </w:p>
        </w:tc>
        <w:tc>
          <w:tcPr>
            <w:tcW w:w="2854" w:type="dxa"/>
            <w:vAlign w:val="center"/>
          </w:tcPr>
          <w:p w14:paraId="747B408D" w14:textId="1BC6FDFA" w:rsidR="008315CA" w:rsidRPr="00E063CF" w:rsidRDefault="008315CA" w:rsidP="00C30BC4">
            <w:pPr>
              <w:keepLines/>
              <w:spacing w:before="180" w:line="0" w:lineRule="atLeast"/>
              <w:cnfStyle w:val="100000000000" w:firstRow="1" w:lastRow="0" w:firstColumn="0" w:lastColumn="0" w:oddVBand="0" w:evenVBand="0" w:oddHBand="0" w:evenHBand="0" w:firstRowFirstColumn="0" w:firstRowLastColumn="0" w:lastRowFirstColumn="0" w:lastRowLastColumn="0"/>
              <w:rPr>
                <w:color w:val="auto"/>
                <w:spacing w:val="-5"/>
                <w:sz w:val="23"/>
                <w:szCs w:val="23"/>
                <w:lang w:eastAsia="en-US"/>
              </w:rPr>
            </w:pPr>
            <w:r w:rsidRPr="00E063CF">
              <w:rPr>
                <w:color w:val="auto"/>
                <w:spacing w:val="-5"/>
                <w:sz w:val="23"/>
                <w:szCs w:val="23"/>
                <w:lang w:eastAsia="en-US"/>
              </w:rPr>
              <w:t xml:space="preserve">Akkumuleret </w:t>
            </w:r>
            <w:r w:rsidR="00A81BC7" w:rsidRPr="00E063CF">
              <w:rPr>
                <w:color w:val="auto"/>
                <w:spacing w:val="-5"/>
                <w:sz w:val="23"/>
                <w:szCs w:val="23"/>
                <w:lang w:eastAsia="en-US"/>
              </w:rPr>
              <w:t xml:space="preserve">andel af </w:t>
            </w:r>
            <w:r w:rsidRPr="00E063CF">
              <w:rPr>
                <w:color w:val="auto"/>
                <w:spacing w:val="-5"/>
                <w:sz w:val="23"/>
                <w:szCs w:val="23"/>
                <w:lang w:eastAsia="en-US"/>
              </w:rPr>
              <w:t>vederlag</w:t>
            </w:r>
            <w:r w:rsidR="00781EDF" w:rsidRPr="00E063CF">
              <w:rPr>
                <w:color w:val="auto"/>
                <w:spacing w:val="-5"/>
                <w:sz w:val="23"/>
                <w:szCs w:val="23"/>
                <w:lang w:eastAsia="en-US"/>
              </w:rPr>
              <w:t xml:space="preserve"> for </w:t>
            </w:r>
            <w:r w:rsidR="00775DA6" w:rsidRPr="00E063CF">
              <w:rPr>
                <w:color w:val="auto"/>
                <w:spacing w:val="-5"/>
                <w:sz w:val="23"/>
                <w:szCs w:val="23"/>
                <w:lang w:eastAsia="en-US"/>
              </w:rPr>
              <w:t>Indledende Ydelser</w:t>
            </w:r>
          </w:p>
        </w:tc>
      </w:tr>
      <w:tr w:rsidR="008315CA" w:rsidRPr="00E063CF" w14:paraId="7E4A5040" w14:textId="376847A7" w:rsidTr="00D27C8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261" w:type="dxa"/>
          </w:tcPr>
          <w:p w14:paraId="5D207992" w14:textId="3C0A1851" w:rsidR="008315CA" w:rsidRPr="00E063CF" w:rsidRDefault="00775DA6" w:rsidP="00C30BC4">
            <w:pPr>
              <w:keepLines/>
              <w:spacing w:before="180" w:line="0" w:lineRule="atLeast"/>
              <w:rPr>
                <w:spacing w:val="-5"/>
                <w:sz w:val="23"/>
                <w:szCs w:val="23"/>
                <w:lang w:eastAsia="en-US"/>
              </w:rPr>
            </w:pPr>
            <w:r w:rsidRPr="00E063CF">
              <w:rPr>
                <w:spacing w:val="-5"/>
                <w:sz w:val="23"/>
                <w:szCs w:val="23"/>
                <w:lang w:eastAsia="en-US"/>
              </w:rPr>
              <w:t>Indledning af Transition Ind</w:t>
            </w:r>
          </w:p>
        </w:tc>
        <w:tc>
          <w:tcPr>
            <w:tcW w:w="2249" w:type="dxa"/>
          </w:tcPr>
          <w:p w14:paraId="41E4B6EC" w14:textId="31FD7E0D" w:rsidR="008315CA" w:rsidRPr="00E063CF" w:rsidRDefault="00D27C80" w:rsidP="00C30BC4">
            <w:pPr>
              <w:keepLines/>
              <w:spacing w:before="180" w:line="0" w:lineRule="atLeast"/>
              <w:cnfStyle w:val="000000100000" w:firstRow="0" w:lastRow="0" w:firstColumn="0" w:lastColumn="0" w:oddVBand="0" w:evenVBand="0" w:oddHBand="1" w:evenHBand="0" w:firstRowFirstColumn="0" w:firstRowLastColumn="0" w:lastRowFirstColumn="0" w:lastRowLastColumn="0"/>
              <w:rPr>
                <w:spacing w:val="-5"/>
                <w:sz w:val="23"/>
                <w:szCs w:val="23"/>
                <w:lang w:eastAsia="en-US"/>
              </w:rPr>
            </w:pPr>
            <w:r w:rsidRPr="00E063CF">
              <w:rPr>
                <w:spacing w:val="-5"/>
                <w:sz w:val="23"/>
                <w:szCs w:val="23"/>
                <w:lang w:eastAsia="en-US"/>
              </w:rPr>
              <w:t>[</w:t>
            </w:r>
            <w:r w:rsidRPr="00E063CF">
              <w:rPr>
                <w:spacing w:val="-5"/>
                <w:sz w:val="23"/>
                <w:szCs w:val="23"/>
                <w:highlight w:val="yellow"/>
                <w:lang w:eastAsia="en-US"/>
              </w:rPr>
              <w:t>2</w:t>
            </w:r>
            <w:r w:rsidR="008315CA" w:rsidRPr="00E063CF">
              <w:rPr>
                <w:spacing w:val="-5"/>
                <w:sz w:val="23"/>
                <w:szCs w:val="23"/>
                <w:highlight w:val="yellow"/>
                <w:lang w:eastAsia="en-US"/>
              </w:rPr>
              <w:t>0</w:t>
            </w:r>
            <w:r w:rsidRPr="00E063CF">
              <w:rPr>
                <w:spacing w:val="-5"/>
                <w:sz w:val="23"/>
                <w:szCs w:val="23"/>
                <w:lang w:eastAsia="en-US"/>
              </w:rPr>
              <w:t>]</w:t>
            </w:r>
            <w:r w:rsidR="008315CA" w:rsidRPr="00E063CF">
              <w:rPr>
                <w:spacing w:val="-5"/>
                <w:sz w:val="23"/>
                <w:szCs w:val="23"/>
                <w:lang w:eastAsia="en-US"/>
              </w:rPr>
              <w:t xml:space="preserve"> </w:t>
            </w:r>
            <w:r w:rsidRPr="00E063CF">
              <w:rPr>
                <w:spacing w:val="-5"/>
                <w:sz w:val="23"/>
                <w:szCs w:val="23"/>
                <w:lang w:eastAsia="en-US"/>
              </w:rPr>
              <w:t>%</w:t>
            </w:r>
          </w:p>
        </w:tc>
        <w:tc>
          <w:tcPr>
            <w:tcW w:w="2854" w:type="dxa"/>
          </w:tcPr>
          <w:p w14:paraId="369190D5" w14:textId="742EDFA4" w:rsidR="008315CA" w:rsidRPr="00E063CF" w:rsidRDefault="00D27C80" w:rsidP="00C30BC4">
            <w:pPr>
              <w:keepLines/>
              <w:spacing w:before="180" w:line="0" w:lineRule="atLeast"/>
              <w:cnfStyle w:val="000000100000" w:firstRow="0" w:lastRow="0" w:firstColumn="0" w:lastColumn="0" w:oddVBand="0" w:evenVBand="0" w:oddHBand="1" w:evenHBand="0" w:firstRowFirstColumn="0" w:firstRowLastColumn="0" w:lastRowFirstColumn="0" w:lastRowLastColumn="0"/>
              <w:rPr>
                <w:spacing w:val="-5"/>
                <w:sz w:val="23"/>
                <w:szCs w:val="23"/>
                <w:lang w:eastAsia="en-US"/>
              </w:rPr>
            </w:pPr>
            <w:r w:rsidRPr="00E063CF">
              <w:rPr>
                <w:spacing w:val="-5"/>
                <w:sz w:val="23"/>
                <w:szCs w:val="23"/>
                <w:lang w:eastAsia="en-US"/>
              </w:rPr>
              <w:t>[</w:t>
            </w:r>
            <w:r w:rsidRPr="00E063CF">
              <w:rPr>
                <w:spacing w:val="-5"/>
                <w:sz w:val="23"/>
                <w:szCs w:val="23"/>
                <w:highlight w:val="yellow"/>
                <w:lang w:eastAsia="en-US"/>
              </w:rPr>
              <w:t>2</w:t>
            </w:r>
            <w:r w:rsidR="008315CA" w:rsidRPr="00E063CF">
              <w:rPr>
                <w:spacing w:val="-5"/>
                <w:sz w:val="23"/>
                <w:szCs w:val="23"/>
                <w:highlight w:val="yellow"/>
                <w:lang w:eastAsia="en-US"/>
              </w:rPr>
              <w:t>0</w:t>
            </w:r>
            <w:r w:rsidRPr="00E063CF">
              <w:rPr>
                <w:spacing w:val="-5"/>
                <w:sz w:val="23"/>
                <w:szCs w:val="23"/>
                <w:lang w:eastAsia="en-US"/>
              </w:rPr>
              <w:t>]</w:t>
            </w:r>
            <w:r w:rsidR="008315CA" w:rsidRPr="00E063CF">
              <w:rPr>
                <w:spacing w:val="-5"/>
                <w:sz w:val="23"/>
                <w:szCs w:val="23"/>
                <w:lang w:eastAsia="en-US"/>
              </w:rPr>
              <w:t xml:space="preserve"> </w:t>
            </w:r>
            <w:r w:rsidRPr="00E063CF">
              <w:rPr>
                <w:spacing w:val="-5"/>
                <w:sz w:val="23"/>
                <w:szCs w:val="23"/>
                <w:lang w:eastAsia="en-US"/>
              </w:rPr>
              <w:t>%</w:t>
            </w:r>
          </w:p>
        </w:tc>
      </w:tr>
      <w:tr w:rsidR="008315CA" w:rsidRPr="00E063CF" w14:paraId="65932C4A" w14:textId="13099CF5" w:rsidTr="00D27C80">
        <w:trPr>
          <w:trHeight w:val="444"/>
        </w:trPr>
        <w:tc>
          <w:tcPr>
            <w:cnfStyle w:val="001000000000" w:firstRow="0" w:lastRow="0" w:firstColumn="1" w:lastColumn="0" w:oddVBand="0" w:evenVBand="0" w:oddHBand="0" w:evenHBand="0" w:firstRowFirstColumn="0" w:firstRowLastColumn="0" w:lastRowFirstColumn="0" w:lastRowLastColumn="0"/>
            <w:tcW w:w="3261" w:type="dxa"/>
          </w:tcPr>
          <w:p w14:paraId="7EFCFF66" w14:textId="5C8526DC" w:rsidR="008315CA" w:rsidRPr="00E063CF" w:rsidRDefault="00781EDF" w:rsidP="008315CA">
            <w:pPr>
              <w:keepLines/>
              <w:spacing w:before="180" w:line="0" w:lineRule="atLeast"/>
              <w:rPr>
                <w:spacing w:val="-5"/>
                <w:sz w:val="23"/>
                <w:szCs w:val="23"/>
                <w:lang w:eastAsia="en-US"/>
              </w:rPr>
            </w:pPr>
            <w:r w:rsidRPr="00E063CF">
              <w:rPr>
                <w:spacing w:val="-5"/>
                <w:sz w:val="23"/>
                <w:szCs w:val="23"/>
                <w:lang w:eastAsia="en-US"/>
              </w:rPr>
              <w:t>Transitionsdag</w:t>
            </w:r>
          </w:p>
        </w:tc>
        <w:tc>
          <w:tcPr>
            <w:tcW w:w="2249" w:type="dxa"/>
          </w:tcPr>
          <w:p w14:paraId="4ADEEF67" w14:textId="17EA0185" w:rsidR="008315CA" w:rsidRPr="00E063CF" w:rsidRDefault="00D27C80" w:rsidP="008315CA">
            <w:pPr>
              <w:keepLines/>
              <w:spacing w:before="180" w:line="0" w:lineRule="atLeast"/>
              <w:cnfStyle w:val="000000000000" w:firstRow="0" w:lastRow="0" w:firstColumn="0" w:lastColumn="0" w:oddVBand="0" w:evenVBand="0" w:oddHBand="0" w:evenHBand="0" w:firstRowFirstColumn="0" w:firstRowLastColumn="0" w:lastRowFirstColumn="0" w:lastRowLastColumn="0"/>
              <w:rPr>
                <w:spacing w:val="-5"/>
                <w:sz w:val="23"/>
                <w:szCs w:val="23"/>
                <w:lang w:eastAsia="en-US"/>
              </w:rPr>
            </w:pPr>
            <w:r w:rsidRPr="00E063CF">
              <w:rPr>
                <w:spacing w:val="-5"/>
                <w:sz w:val="23"/>
                <w:szCs w:val="23"/>
                <w:lang w:eastAsia="en-US"/>
              </w:rPr>
              <w:t>[</w:t>
            </w:r>
            <w:r w:rsidRPr="00E063CF">
              <w:rPr>
                <w:spacing w:val="-5"/>
                <w:sz w:val="23"/>
                <w:szCs w:val="23"/>
                <w:highlight w:val="yellow"/>
                <w:lang w:eastAsia="en-US"/>
              </w:rPr>
              <w:t>5</w:t>
            </w:r>
            <w:r w:rsidR="008315CA" w:rsidRPr="00E063CF">
              <w:rPr>
                <w:spacing w:val="-5"/>
                <w:sz w:val="23"/>
                <w:szCs w:val="23"/>
                <w:highlight w:val="yellow"/>
                <w:lang w:eastAsia="en-US"/>
              </w:rPr>
              <w:t>0</w:t>
            </w:r>
            <w:r w:rsidRPr="00E063CF">
              <w:rPr>
                <w:spacing w:val="-5"/>
                <w:sz w:val="23"/>
                <w:szCs w:val="23"/>
                <w:lang w:eastAsia="en-US"/>
              </w:rPr>
              <w:t>]</w:t>
            </w:r>
            <w:r w:rsidR="008315CA" w:rsidRPr="00E063CF">
              <w:rPr>
                <w:spacing w:val="-5"/>
                <w:sz w:val="23"/>
                <w:szCs w:val="23"/>
                <w:lang w:eastAsia="en-US"/>
              </w:rPr>
              <w:t xml:space="preserve"> </w:t>
            </w:r>
            <w:r w:rsidRPr="00E063CF">
              <w:rPr>
                <w:spacing w:val="-5"/>
                <w:sz w:val="23"/>
                <w:szCs w:val="23"/>
                <w:lang w:eastAsia="en-US"/>
              </w:rPr>
              <w:t>%</w:t>
            </w:r>
          </w:p>
        </w:tc>
        <w:tc>
          <w:tcPr>
            <w:tcW w:w="2854" w:type="dxa"/>
          </w:tcPr>
          <w:p w14:paraId="72D72277" w14:textId="66822AA0" w:rsidR="008315CA" w:rsidRPr="00E063CF" w:rsidRDefault="00D27C80" w:rsidP="008315CA">
            <w:pPr>
              <w:keepLines/>
              <w:spacing w:before="180" w:line="0" w:lineRule="atLeast"/>
              <w:cnfStyle w:val="000000000000" w:firstRow="0" w:lastRow="0" w:firstColumn="0" w:lastColumn="0" w:oddVBand="0" w:evenVBand="0" w:oddHBand="0" w:evenHBand="0" w:firstRowFirstColumn="0" w:firstRowLastColumn="0" w:lastRowFirstColumn="0" w:lastRowLastColumn="0"/>
              <w:rPr>
                <w:spacing w:val="-5"/>
                <w:sz w:val="23"/>
                <w:szCs w:val="23"/>
                <w:lang w:eastAsia="en-US"/>
              </w:rPr>
            </w:pPr>
            <w:r w:rsidRPr="00E063CF">
              <w:rPr>
                <w:spacing w:val="-5"/>
                <w:sz w:val="23"/>
                <w:szCs w:val="23"/>
                <w:lang w:eastAsia="en-US"/>
              </w:rPr>
              <w:t>[</w:t>
            </w:r>
            <w:r w:rsidRPr="00E063CF">
              <w:rPr>
                <w:spacing w:val="-5"/>
                <w:sz w:val="23"/>
                <w:szCs w:val="23"/>
                <w:highlight w:val="yellow"/>
                <w:lang w:eastAsia="en-US"/>
              </w:rPr>
              <w:t>7</w:t>
            </w:r>
            <w:r w:rsidR="008315CA" w:rsidRPr="00E063CF">
              <w:rPr>
                <w:spacing w:val="-5"/>
                <w:sz w:val="23"/>
                <w:szCs w:val="23"/>
                <w:highlight w:val="yellow"/>
                <w:lang w:eastAsia="en-US"/>
              </w:rPr>
              <w:t>0</w:t>
            </w:r>
            <w:r w:rsidRPr="00E063CF">
              <w:rPr>
                <w:spacing w:val="-5"/>
                <w:sz w:val="23"/>
                <w:szCs w:val="23"/>
                <w:lang w:eastAsia="en-US"/>
              </w:rPr>
              <w:t>]</w:t>
            </w:r>
            <w:r w:rsidR="008315CA" w:rsidRPr="00E063CF">
              <w:rPr>
                <w:spacing w:val="-5"/>
                <w:sz w:val="23"/>
                <w:szCs w:val="23"/>
                <w:lang w:eastAsia="en-US"/>
              </w:rPr>
              <w:t xml:space="preserve"> </w:t>
            </w:r>
            <w:r w:rsidRPr="00E063CF">
              <w:rPr>
                <w:spacing w:val="-5"/>
                <w:sz w:val="23"/>
                <w:szCs w:val="23"/>
                <w:lang w:eastAsia="en-US"/>
              </w:rPr>
              <w:t>%</w:t>
            </w:r>
          </w:p>
        </w:tc>
      </w:tr>
      <w:tr w:rsidR="008315CA" w:rsidRPr="00E063CF" w14:paraId="64516448" w14:textId="425229AA" w:rsidTr="00D27C80">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3261" w:type="dxa"/>
          </w:tcPr>
          <w:p w14:paraId="5A1705F9" w14:textId="77777777" w:rsidR="008315CA" w:rsidRPr="00E063CF" w:rsidRDefault="008315CA" w:rsidP="008315CA">
            <w:pPr>
              <w:keepLines/>
              <w:spacing w:before="180" w:line="0" w:lineRule="atLeast"/>
              <w:rPr>
                <w:spacing w:val="-5"/>
                <w:sz w:val="23"/>
                <w:szCs w:val="23"/>
                <w:lang w:eastAsia="en-US"/>
              </w:rPr>
            </w:pPr>
            <w:r w:rsidRPr="00E063CF">
              <w:rPr>
                <w:spacing w:val="-5"/>
                <w:sz w:val="23"/>
                <w:szCs w:val="23"/>
                <w:lang w:eastAsia="en-US"/>
              </w:rPr>
              <w:t>Driftsprøve godkendt</w:t>
            </w:r>
          </w:p>
        </w:tc>
        <w:tc>
          <w:tcPr>
            <w:tcW w:w="2249" w:type="dxa"/>
          </w:tcPr>
          <w:p w14:paraId="404CFB4C" w14:textId="78AEC120" w:rsidR="008315CA" w:rsidRPr="00E063CF" w:rsidRDefault="00D27C80" w:rsidP="008315CA">
            <w:pPr>
              <w:keepLines/>
              <w:spacing w:before="180" w:line="0" w:lineRule="atLeast"/>
              <w:cnfStyle w:val="000000100000" w:firstRow="0" w:lastRow="0" w:firstColumn="0" w:lastColumn="0" w:oddVBand="0" w:evenVBand="0" w:oddHBand="1" w:evenHBand="0" w:firstRowFirstColumn="0" w:firstRowLastColumn="0" w:lastRowFirstColumn="0" w:lastRowLastColumn="0"/>
              <w:rPr>
                <w:spacing w:val="-5"/>
                <w:sz w:val="23"/>
                <w:szCs w:val="23"/>
                <w:lang w:eastAsia="en-US"/>
              </w:rPr>
            </w:pPr>
            <w:r w:rsidRPr="00E063CF">
              <w:rPr>
                <w:spacing w:val="-5"/>
                <w:sz w:val="23"/>
                <w:szCs w:val="23"/>
                <w:lang w:eastAsia="en-US"/>
              </w:rPr>
              <w:t>[</w:t>
            </w:r>
            <w:r w:rsidRPr="00E063CF">
              <w:rPr>
                <w:spacing w:val="-5"/>
                <w:sz w:val="23"/>
                <w:szCs w:val="23"/>
                <w:highlight w:val="yellow"/>
                <w:lang w:eastAsia="en-US"/>
              </w:rPr>
              <w:t>3</w:t>
            </w:r>
            <w:r w:rsidR="008315CA" w:rsidRPr="00E063CF">
              <w:rPr>
                <w:spacing w:val="-5"/>
                <w:sz w:val="23"/>
                <w:szCs w:val="23"/>
                <w:highlight w:val="yellow"/>
                <w:lang w:eastAsia="en-US"/>
              </w:rPr>
              <w:t>0</w:t>
            </w:r>
            <w:r w:rsidRPr="00E063CF">
              <w:rPr>
                <w:spacing w:val="-5"/>
                <w:sz w:val="23"/>
                <w:szCs w:val="23"/>
                <w:lang w:eastAsia="en-US"/>
              </w:rPr>
              <w:t>]</w:t>
            </w:r>
            <w:r w:rsidR="008315CA" w:rsidRPr="00E063CF">
              <w:rPr>
                <w:spacing w:val="-5"/>
                <w:sz w:val="23"/>
                <w:szCs w:val="23"/>
                <w:lang w:eastAsia="en-US"/>
              </w:rPr>
              <w:t xml:space="preserve"> </w:t>
            </w:r>
            <w:r w:rsidRPr="00E063CF">
              <w:rPr>
                <w:spacing w:val="-5"/>
                <w:sz w:val="23"/>
                <w:szCs w:val="23"/>
                <w:lang w:eastAsia="en-US"/>
              </w:rPr>
              <w:t>%</w:t>
            </w:r>
          </w:p>
        </w:tc>
        <w:tc>
          <w:tcPr>
            <w:tcW w:w="2854" w:type="dxa"/>
          </w:tcPr>
          <w:p w14:paraId="6515311A" w14:textId="04850173" w:rsidR="008315CA" w:rsidRPr="00E063CF" w:rsidRDefault="008315CA" w:rsidP="008315CA">
            <w:pPr>
              <w:keepLines/>
              <w:spacing w:before="180" w:line="0" w:lineRule="atLeast"/>
              <w:cnfStyle w:val="000000100000" w:firstRow="0" w:lastRow="0" w:firstColumn="0" w:lastColumn="0" w:oddVBand="0" w:evenVBand="0" w:oddHBand="1" w:evenHBand="0" w:firstRowFirstColumn="0" w:firstRowLastColumn="0" w:lastRowFirstColumn="0" w:lastRowLastColumn="0"/>
              <w:rPr>
                <w:spacing w:val="-5"/>
                <w:sz w:val="23"/>
                <w:szCs w:val="23"/>
                <w:lang w:eastAsia="en-US"/>
              </w:rPr>
            </w:pPr>
            <w:r w:rsidRPr="00E063CF">
              <w:rPr>
                <w:spacing w:val="-5"/>
                <w:sz w:val="23"/>
                <w:szCs w:val="23"/>
                <w:lang w:eastAsia="en-US"/>
              </w:rPr>
              <w:t xml:space="preserve">100 </w:t>
            </w:r>
            <w:r w:rsidR="00D27C80" w:rsidRPr="00E063CF">
              <w:rPr>
                <w:spacing w:val="-5"/>
                <w:sz w:val="23"/>
                <w:szCs w:val="23"/>
                <w:lang w:eastAsia="en-US"/>
              </w:rPr>
              <w:t>%</w:t>
            </w:r>
          </w:p>
        </w:tc>
      </w:tr>
    </w:tbl>
    <w:p w14:paraId="51BB3775" w14:textId="3768E10D" w:rsidR="00776DEC" w:rsidRDefault="00776DEC" w:rsidP="00483B77"/>
    <w:p w14:paraId="4D8E91CE" w14:textId="18DFA13E" w:rsidR="00A81BC7" w:rsidRDefault="00A81BC7" w:rsidP="00483B77">
      <w:r>
        <w:t>For betalinger, som erlægges forud for levering af Ydelsen, henvises til Kontrakten</w:t>
      </w:r>
      <w:r w:rsidR="00AA04DC">
        <w:t xml:space="preserve">s </w:t>
      </w:r>
      <w:r>
        <w:t>punkt 40</w:t>
      </w:r>
      <w:r w:rsidR="00AA04DC">
        <w:t xml:space="preserve"> </w:t>
      </w:r>
      <w:r>
        <w:t>vedr</w:t>
      </w:r>
      <w:r w:rsidR="00AD274B">
        <w:t>ørende</w:t>
      </w:r>
      <w:r>
        <w:t xml:space="preserve"> anfordringsgaranti.</w:t>
      </w:r>
    </w:p>
    <w:p w14:paraId="49CE8CC5" w14:textId="77777777" w:rsidR="00483B77" w:rsidRDefault="00483B77" w:rsidP="00483B77"/>
    <w:p w14:paraId="62619504" w14:textId="66A95D03" w:rsidR="00483B77" w:rsidRDefault="00BA5296" w:rsidP="00483B77">
      <w:pPr>
        <w:pStyle w:val="Listeafsnit"/>
        <w:numPr>
          <w:ilvl w:val="0"/>
          <w:numId w:val="20"/>
        </w:numPr>
      </w:pPr>
      <w:bookmarkStart w:id="32" w:name="_Ref506280400"/>
      <w:r>
        <w:t>Kundens øvrige</w:t>
      </w:r>
      <w:r w:rsidR="00483B77">
        <w:t xml:space="preserve"> krav til indhold af faktura</w:t>
      </w:r>
      <w:bookmarkEnd w:id="32"/>
    </w:p>
    <w:p w14:paraId="1506566F" w14:textId="3DA3DE9B" w:rsidR="00A81BC7" w:rsidRPr="00C7213C" w:rsidRDefault="00A81BC7" w:rsidP="00483B77">
      <w:pPr>
        <w:rPr>
          <w:highlight w:val="yellow"/>
        </w:rPr>
      </w:pPr>
      <w:r w:rsidRPr="00C7213C">
        <w:rPr>
          <w:highlight w:val="yellow"/>
        </w:rPr>
        <w:t xml:space="preserve">[Såfremt Kunden har særlige </w:t>
      </w:r>
      <w:r w:rsidR="009E0D4B" w:rsidRPr="00C7213C">
        <w:rPr>
          <w:highlight w:val="yellow"/>
        </w:rPr>
        <w:t xml:space="preserve">kundespecifikke krav til indhold af faktura, da stilles disse krav i dette </w:t>
      </w:r>
      <w:r w:rsidR="009E0D4B" w:rsidRPr="00C7213C">
        <w:rPr>
          <w:highlight w:val="yellow"/>
        </w:rPr>
        <w:fldChar w:fldCharType="begin"/>
      </w:r>
      <w:r w:rsidR="009E0D4B" w:rsidRPr="00C7213C">
        <w:rPr>
          <w:highlight w:val="yellow"/>
        </w:rPr>
        <w:instrText xml:space="preserve"> REF _Ref506280400 \r \h </w:instrText>
      </w:r>
      <w:r w:rsidR="00C7213C">
        <w:rPr>
          <w:highlight w:val="yellow"/>
        </w:rPr>
        <w:instrText xml:space="preserve"> \* MERGEFORMAT </w:instrText>
      </w:r>
      <w:r w:rsidR="009E0D4B" w:rsidRPr="00C7213C">
        <w:rPr>
          <w:highlight w:val="yellow"/>
        </w:rPr>
      </w:r>
      <w:r w:rsidR="009E0D4B" w:rsidRPr="00C7213C">
        <w:rPr>
          <w:highlight w:val="yellow"/>
        </w:rPr>
        <w:fldChar w:fldCharType="separate"/>
      </w:r>
      <w:r w:rsidR="00826932">
        <w:rPr>
          <w:highlight w:val="yellow"/>
        </w:rPr>
        <w:t>K-15</w:t>
      </w:r>
      <w:r w:rsidR="009E0D4B" w:rsidRPr="00C7213C">
        <w:rPr>
          <w:highlight w:val="yellow"/>
        </w:rPr>
        <w:fldChar w:fldCharType="end"/>
      </w:r>
      <w:r w:rsidR="009E0D4B" w:rsidRPr="00C7213C">
        <w:rPr>
          <w:highlight w:val="yellow"/>
        </w:rPr>
        <w:t>. Hvis ikke dette er tilfældet slettes kravet, og kravmatricen konsekvensrettes. Nedenfor er anført eksempel på kundespecifikt krav:</w:t>
      </w:r>
    </w:p>
    <w:p w14:paraId="01A5E49D" w14:textId="442C5598" w:rsidR="009E0D4B" w:rsidRPr="00C7213C" w:rsidRDefault="009E0D4B" w:rsidP="00483B77">
      <w:pPr>
        <w:rPr>
          <w:highlight w:val="yellow"/>
        </w:rPr>
      </w:pPr>
    </w:p>
    <w:p w14:paraId="1B47E72B" w14:textId="13BF1D34" w:rsidR="00E87538" w:rsidRPr="00C7213C" w:rsidRDefault="00E87538" w:rsidP="00483B77">
      <w:pPr>
        <w:rPr>
          <w:highlight w:val="yellow"/>
        </w:rPr>
      </w:pPr>
      <w:r w:rsidRPr="00C7213C">
        <w:rPr>
          <w:highlight w:val="yellow"/>
        </w:rPr>
        <w:lastRenderedPageBreak/>
        <w:t>Leverandøren skal ved f</w:t>
      </w:r>
      <w:r w:rsidR="00D738C9" w:rsidRPr="00C7213C">
        <w:rPr>
          <w:highlight w:val="yellow"/>
        </w:rPr>
        <w:t>aktur</w:t>
      </w:r>
      <w:r w:rsidRPr="00C7213C">
        <w:rPr>
          <w:highlight w:val="yellow"/>
        </w:rPr>
        <w:t>ering,</w:t>
      </w:r>
      <w:r w:rsidR="00D738C9" w:rsidRPr="00C7213C">
        <w:rPr>
          <w:highlight w:val="yellow"/>
        </w:rPr>
        <w:t xml:space="preserve"> </w:t>
      </w:r>
      <w:r w:rsidR="00E70D33" w:rsidRPr="00C7213C">
        <w:rPr>
          <w:highlight w:val="yellow"/>
        </w:rPr>
        <w:t xml:space="preserve">i tillæg til kravene i Kontrakten, punkt 39.2, </w:t>
      </w:r>
      <w:r w:rsidR="000E222A" w:rsidRPr="00C7213C">
        <w:rPr>
          <w:highlight w:val="yellow"/>
        </w:rPr>
        <w:t>angive</w:t>
      </w:r>
      <w:r w:rsidRPr="00C7213C">
        <w:rPr>
          <w:highlight w:val="yellow"/>
        </w:rPr>
        <w:t xml:space="preserve"> følgende:</w:t>
      </w:r>
    </w:p>
    <w:p w14:paraId="67B88171" w14:textId="541D244E" w:rsidR="00E87538" w:rsidRPr="00C7213C" w:rsidRDefault="00E87538" w:rsidP="00E87538">
      <w:pPr>
        <w:pStyle w:val="Listeafsnit"/>
        <w:numPr>
          <w:ilvl w:val="0"/>
          <w:numId w:val="21"/>
        </w:numPr>
        <w:rPr>
          <w:highlight w:val="yellow"/>
        </w:rPr>
      </w:pPr>
      <w:r w:rsidRPr="00C7213C">
        <w:rPr>
          <w:highlight w:val="yellow"/>
        </w:rPr>
        <w:t xml:space="preserve">PSP-nr.: </w:t>
      </w:r>
      <w:r w:rsidR="00AD274B">
        <w:rPr>
          <w:highlight w:val="yellow"/>
          <w:lang w:val="en-US"/>
        </w:rPr>
        <w:t>[…]</w:t>
      </w:r>
    </w:p>
    <w:p w14:paraId="64F4F90A" w14:textId="053E4297" w:rsidR="00C7213C" w:rsidRPr="00AD274B" w:rsidRDefault="00E87538" w:rsidP="00E87538">
      <w:pPr>
        <w:pStyle w:val="Listeafsnit"/>
        <w:numPr>
          <w:ilvl w:val="0"/>
          <w:numId w:val="21"/>
        </w:numPr>
        <w:rPr>
          <w:highlight w:val="yellow"/>
        </w:rPr>
      </w:pPr>
      <w:r w:rsidRPr="00C7213C">
        <w:rPr>
          <w:highlight w:val="yellow"/>
          <w:lang w:val="en-US"/>
        </w:rPr>
        <w:t xml:space="preserve">Att. </w:t>
      </w:r>
      <w:r w:rsidR="00AD274B">
        <w:rPr>
          <w:highlight w:val="yellow"/>
          <w:lang w:val="en-US"/>
        </w:rPr>
        <w:t>[…]</w:t>
      </w:r>
    </w:p>
    <w:p w14:paraId="721E9BE6" w14:textId="050B9964" w:rsidR="00C7213C" w:rsidRPr="00AD274B" w:rsidRDefault="00C7213C" w:rsidP="00E87538">
      <w:pPr>
        <w:pStyle w:val="Listeafsnit"/>
        <w:numPr>
          <w:ilvl w:val="0"/>
          <w:numId w:val="21"/>
        </w:numPr>
        <w:rPr>
          <w:highlight w:val="yellow"/>
        </w:rPr>
      </w:pPr>
      <w:r w:rsidRPr="00AD274B">
        <w:rPr>
          <w:highlight w:val="yellow"/>
        </w:rPr>
        <w:t>Reference: “Kontrakt om drift</w:t>
      </w:r>
      <w:r w:rsidR="00AD274B" w:rsidRPr="00AD274B">
        <w:rPr>
          <w:highlight w:val="yellow"/>
        </w:rPr>
        <w:t xml:space="preserve"> af […]</w:t>
      </w:r>
      <w:r w:rsidRPr="00AD274B">
        <w:rPr>
          <w:highlight w:val="yellow"/>
        </w:rPr>
        <w:t>”</w:t>
      </w:r>
    </w:p>
    <w:p w14:paraId="6ED542FB" w14:textId="56398437" w:rsidR="00C7213C" w:rsidRPr="00C7213C" w:rsidRDefault="00C7213C" w:rsidP="00C7213C">
      <w:pPr>
        <w:pStyle w:val="Listeafsnit"/>
        <w:numPr>
          <w:ilvl w:val="0"/>
          <w:numId w:val="21"/>
        </w:numPr>
        <w:rPr>
          <w:highlight w:val="yellow"/>
        </w:rPr>
      </w:pPr>
      <w:r w:rsidRPr="00C7213C">
        <w:rPr>
          <w:highlight w:val="yellow"/>
          <w:lang w:val="en-US"/>
        </w:rPr>
        <w:t>Fakturanummer</w:t>
      </w:r>
      <w:r w:rsidRPr="00C7213C">
        <w:rPr>
          <w:highlight w:val="yellow"/>
        </w:rPr>
        <w:t>]</w:t>
      </w:r>
    </w:p>
    <w:p w14:paraId="214B35ED" w14:textId="77777777" w:rsidR="00A9639F" w:rsidRPr="00A9639F" w:rsidRDefault="00A9639F" w:rsidP="00A9639F"/>
    <w:p w14:paraId="465A05D2" w14:textId="6F44558B" w:rsidR="00A9639F" w:rsidRDefault="00A9639F" w:rsidP="008B69A2">
      <w:pPr>
        <w:pStyle w:val="Overskrift1"/>
      </w:pPr>
      <w:bookmarkStart w:id="33" w:name="_Ref511889468"/>
      <w:bookmarkStart w:id="34" w:name="_Toc517163829"/>
      <w:r>
        <w:t>Regulering af vederlag</w:t>
      </w:r>
      <w:bookmarkEnd w:id="33"/>
      <w:bookmarkEnd w:id="34"/>
    </w:p>
    <w:p w14:paraId="5CC15D38" w14:textId="32D6D3EF" w:rsidR="003965BD" w:rsidRDefault="00810AED" w:rsidP="002C66D8">
      <w:pPr>
        <w:pStyle w:val="Overskrift2"/>
      </w:pPr>
      <w:bookmarkStart w:id="35" w:name="_Ref506886318"/>
      <w:bookmarkStart w:id="36" w:name="_Toc517163830"/>
      <w:r>
        <w:t xml:space="preserve">Reduktion </w:t>
      </w:r>
      <w:r w:rsidR="0096415B">
        <w:t>ved effektiviseringssats</w:t>
      </w:r>
      <w:bookmarkEnd w:id="35"/>
      <w:bookmarkEnd w:id="36"/>
    </w:p>
    <w:p w14:paraId="43EAA384" w14:textId="11CF05A3" w:rsidR="00E23476" w:rsidRDefault="00E23476" w:rsidP="00E23476">
      <w:pPr>
        <w:pStyle w:val="Listeafsnit"/>
        <w:numPr>
          <w:ilvl w:val="0"/>
          <w:numId w:val="20"/>
        </w:numPr>
      </w:pPr>
      <w:bookmarkStart w:id="37" w:name="_Ref506284597"/>
      <w:r>
        <w:t xml:space="preserve">Regulering af vederlag for </w:t>
      </w:r>
      <w:r w:rsidR="003024E0">
        <w:t>Løbende Ydelser</w:t>
      </w:r>
      <w:bookmarkEnd w:id="37"/>
    </w:p>
    <w:p w14:paraId="3B3418D3" w14:textId="0F803730" w:rsidR="002C66D8" w:rsidRDefault="003024E0" w:rsidP="002C66D8">
      <w:r>
        <w:t>Kunden er berettiget til en årlig reduktion af d</w:t>
      </w:r>
      <w:r w:rsidR="002C66D8">
        <w:t>et</w:t>
      </w:r>
      <w:r w:rsidR="0068343A">
        <w:t xml:space="preserve"> </w:t>
      </w:r>
      <w:r w:rsidR="002C66D8">
        <w:t>månedlige vederlag for</w:t>
      </w:r>
      <w:r>
        <w:t xml:space="preserve"> hver af</w:t>
      </w:r>
      <w:r w:rsidR="002C66D8">
        <w:t xml:space="preserve"> </w:t>
      </w:r>
      <w:r>
        <w:t xml:space="preserve">de Løbende Ydelser, </w:t>
      </w:r>
      <w:r w:rsidR="002C66D8">
        <w:t xml:space="preserve">som led i forventet effektivisering </w:t>
      </w:r>
      <w:r w:rsidR="00810AED">
        <w:t>i Kontraktens løbetid</w:t>
      </w:r>
      <w:r w:rsidR="002C66D8">
        <w:t>.</w:t>
      </w:r>
    </w:p>
    <w:p w14:paraId="17B036EF" w14:textId="30596DAB" w:rsidR="003024E0" w:rsidRDefault="003024E0" w:rsidP="002C66D8"/>
    <w:p w14:paraId="0E9D94EE" w14:textId="14E75819" w:rsidR="000431F0" w:rsidRDefault="003024E0" w:rsidP="002C66D8">
      <w:r>
        <w:t xml:space="preserve">Leverandøren har i </w:t>
      </w:r>
      <w:r w:rsidR="004E303C">
        <w:fldChar w:fldCharType="begin"/>
      </w:r>
      <w:r w:rsidR="004E303C">
        <w:instrText xml:space="preserve"> REF _Ref512414612 \r \h </w:instrText>
      </w:r>
      <w:r w:rsidR="004E303C">
        <w:fldChar w:fldCharType="separate"/>
      </w:r>
      <w:r w:rsidR="00826932">
        <w:t>Bilag 20.a</w:t>
      </w:r>
      <w:r w:rsidR="004E303C">
        <w:fldChar w:fldCharType="end"/>
      </w:r>
      <w:r>
        <w:t xml:space="preserve">, for hver af de Løbende Ydelser angivet en </w:t>
      </w:r>
      <w:r w:rsidR="0096415B">
        <w:t>effektiviseringssats (</w:t>
      </w:r>
      <w:r>
        <w:t>procentsats</w:t>
      </w:r>
      <w:r w:rsidR="0096415B">
        <w:t>)</w:t>
      </w:r>
      <w:r>
        <w:t xml:space="preserve">, som </w:t>
      </w:r>
      <w:r w:rsidR="00BC5A0B">
        <w:t>enhedspriserne</w:t>
      </w:r>
      <w:r>
        <w:t xml:space="preserve"> for den givne Løbende Ydelse nedreguleres med årligt.</w:t>
      </w:r>
      <w:r w:rsidR="00773184">
        <w:t xml:space="preserve"> </w:t>
      </w:r>
      <w:r w:rsidR="000431F0">
        <w:t>Såfremt Leverandøren ikke har tilbudt en effektiviseringssats</w:t>
      </w:r>
      <w:r w:rsidR="00810AED">
        <w:t>,</w:t>
      </w:r>
      <w:r w:rsidR="000431F0">
        <w:t xml:space="preserve"> har Leverandøren anført ”0” eller ikke udfyldt cellen i </w:t>
      </w:r>
      <w:r w:rsidR="004E303C">
        <w:fldChar w:fldCharType="begin"/>
      </w:r>
      <w:r w:rsidR="004E303C">
        <w:instrText xml:space="preserve"> REF _Ref512414612 \r \h </w:instrText>
      </w:r>
      <w:r w:rsidR="004E303C">
        <w:fldChar w:fldCharType="separate"/>
      </w:r>
      <w:r w:rsidR="00826932">
        <w:t>Bilag 20.a</w:t>
      </w:r>
      <w:r w:rsidR="004E303C">
        <w:fldChar w:fldCharType="end"/>
      </w:r>
      <w:r w:rsidR="000431F0">
        <w:t>.</w:t>
      </w:r>
    </w:p>
    <w:p w14:paraId="34549DCA" w14:textId="77777777" w:rsidR="000431F0" w:rsidRDefault="000431F0" w:rsidP="002C66D8"/>
    <w:p w14:paraId="71D10014" w14:textId="63C4F839" w:rsidR="003024E0" w:rsidRDefault="00810AED" w:rsidP="002C66D8">
      <w:r>
        <w:t xml:space="preserve">Reduktionen </w:t>
      </w:r>
      <w:r w:rsidR="000431F0">
        <w:t>gennemføres med virkning fra første måned i et nyt kontrakt</w:t>
      </w:r>
      <w:r>
        <w:t>s</w:t>
      </w:r>
      <w:r w:rsidR="000431F0">
        <w:t>år fra og med kontrakt</w:t>
      </w:r>
      <w:r w:rsidR="000B7DCF">
        <w:t>s</w:t>
      </w:r>
      <w:r w:rsidR="000431F0">
        <w:t>år 2, i</w:t>
      </w:r>
      <w:r w:rsidR="000B7DCF">
        <w:t xml:space="preserve"> </w:t>
      </w:r>
      <w:r w:rsidR="000431F0">
        <w:t>det omfang Leverandøren har tilbudt en effektiviseringssats.</w:t>
      </w:r>
      <w:r w:rsidR="00773184">
        <w:t xml:space="preserve"> </w:t>
      </w:r>
    </w:p>
    <w:p w14:paraId="479C3E90" w14:textId="77777777" w:rsidR="002C66D8" w:rsidRDefault="002C66D8" w:rsidP="002C66D8"/>
    <w:p w14:paraId="4D880E0E" w14:textId="4D8A732B" w:rsidR="002C66D8" w:rsidRDefault="00AF484F" w:rsidP="002C66D8">
      <w:pPr>
        <w:pStyle w:val="Overskrift2"/>
      </w:pPr>
      <w:bookmarkStart w:id="38" w:name="_Ref506886470"/>
      <w:bookmarkStart w:id="39" w:name="_Toc517163831"/>
      <w:r>
        <w:t>Indeksregulering</w:t>
      </w:r>
      <w:bookmarkEnd w:id="38"/>
      <w:bookmarkEnd w:id="39"/>
    </w:p>
    <w:p w14:paraId="3397CEEB" w14:textId="4BE41E57" w:rsidR="00AF484F" w:rsidRDefault="00AF484F" w:rsidP="00AF484F">
      <w:pPr>
        <w:pStyle w:val="Listeafsnit"/>
        <w:numPr>
          <w:ilvl w:val="0"/>
          <w:numId w:val="20"/>
        </w:numPr>
      </w:pPr>
      <w:r>
        <w:t>Indeksregulering af</w:t>
      </w:r>
      <w:r w:rsidR="0068343A">
        <w:t xml:space="preserve"> </w:t>
      </w:r>
      <w:r>
        <w:t xml:space="preserve">månedligt vederlag for </w:t>
      </w:r>
      <w:r w:rsidR="005C71E4">
        <w:t xml:space="preserve">Enhedsadministration, Applikationsdrift og </w:t>
      </w:r>
      <w:r>
        <w:t>Support</w:t>
      </w:r>
    </w:p>
    <w:p w14:paraId="61E9EEA0" w14:textId="01357C85" w:rsidR="00AF484F" w:rsidRDefault="00AF484F" w:rsidP="00AF484F">
      <w:r>
        <w:t>De</w:t>
      </w:r>
      <w:r w:rsidR="0068343A">
        <w:t xml:space="preserve"> </w:t>
      </w:r>
      <w:r>
        <w:t>månedlige vederlag for</w:t>
      </w:r>
      <w:r w:rsidR="005C71E4">
        <w:t xml:space="preserve"> hhv. E</w:t>
      </w:r>
      <w:r w:rsidR="005C71E4" w:rsidRPr="005C71E4">
        <w:t>nhedsadministration, Applikationsdrift og</w:t>
      </w:r>
      <w:r>
        <w:t xml:space="preserve"> Support,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t>, indeksreguleres én gang årligt</w:t>
      </w:r>
      <w:r w:rsidR="00332095">
        <w:t xml:space="preserve"> efter den i </w:t>
      </w:r>
      <w:r w:rsidR="00332095">
        <w:fldChar w:fldCharType="begin"/>
      </w:r>
      <w:r w:rsidR="00332095">
        <w:instrText xml:space="preserve"> REF _Ref506285488 \r \h </w:instrText>
      </w:r>
      <w:r w:rsidR="00332095">
        <w:fldChar w:fldCharType="separate"/>
      </w:r>
      <w:r w:rsidR="00826932">
        <w:t>K-19</w:t>
      </w:r>
      <w:r w:rsidR="00332095">
        <w:fldChar w:fldCharType="end"/>
      </w:r>
      <w:r w:rsidR="00332095">
        <w:t xml:space="preserve"> angivne metode</w:t>
      </w:r>
      <w:r>
        <w:t>. Det</w:t>
      </w:r>
      <w:r w:rsidR="0068343A">
        <w:t xml:space="preserve"> </w:t>
      </w:r>
      <w:r>
        <w:t xml:space="preserve">månedlige vederlag for </w:t>
      </w:r>
      <w:r w:rsidR="005C71E4">
        <w:t>E</w:t>
      </w:r>
      <w:r w:rsidR="005C71E4" w:rsidRPr="005C71E4">
        <w:t>nhedsadministration, Applikationsdrift og</w:t>
      </w:r>
      <w:r w:rsidR="005C71E4">
        <w:t xml:space="preserve"> </w:t>
      </w:r>
      <w:r>
        <w:t xml:space="preserve">Support reguleres således både ved en årlig </w:t>
      </w:r>
      <w:r w:rsidR="00AD4722">
        <w:t>nedregulering</w:t>
      </w:r>
      <w:r>
        <w:t xml:space="preserve">, jf. </w:t>
      </w:r>
      <w:r>
        <w:fldChar w:fldCharType="begin"/>
      </w:r>
      <w:r>
        <w:instrText xml:space="preserve"> REF _Ref506284597 \r \h </w:instrText>
      </w:r>
      <w:r>
        <w:fldChar w:fldCharType="separate"/>
      </w:r>
      <w:r w:rsidR="00826932">
        <w:t>K-16</w:t>
      </w:r>
      <w:r>
        <w:fldChar w:fldCharType="end"/>
      </w:r>
      <w:r>
        <w:t xml:space="preserve"> ovenfor, og ved indeksregulering.</w:t>
      </w:r>
    </w:p>
    <w:p w14:paraId="24F289BD" w14:textId="77777777" w:rsidR="00AF484F" w:rsidRDefault="00AF484F" w:rsidP="00AF484F"/>
    <w:p w14:paraId="70E32EBF" w14:textId="4FB8B336" w:rsidR="00E23476" w:rsidRDefault="00E23476" w:rsidP="00E23476">
      <w:pPr>
        <w:pStyle w:val="Listeafsnit"/>
        <w:numPr>
          <w:ilvl w:val="0"/>
          <w:numId w:val="20"/>
        </w:numPr>
      </w:pPr>
      <w:r>
        <w:t>Regulering af timepriser</w:t>
      </w:r>
    </w:p>
    <w:p w14:paraId="7DF60558" w14:textId="16685AE2" w:rsidR="00402FA2" w:rsidRDefault="002C66D8" w:rsidP="00332095">
      <w:r>
        <w:t xml:space="preserve">Timepriser, som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t xml:space="preserve">, </w:t>
      </w:r>
      <w:r w:rsidR="007F03DD">
        <w:t>indeks</w:t>
      </w:r>
      <w:r>
        <w:t xml:space="preserve">reguleres </w:t>
      </w:r>
      <w:r w:rsidR="007F03DD">
        <w:t>én gang årligt</w:t>
      </w:r>
      <w:r w:rsidR="00332095" w:rsidRPr="00332095">
        <w:t xml:space="preserve"> </w:t>
      </w:r>
      <w:r w:rsidR="00332095">
        <w:t xml:space="preserve">efter den i </w:t>
      </w:r>
      <w:r w:rsidR="00332095">
        <w:fldChar w:fldCharType="begin"/>
      </w:r>
      <w:r w:rsidR="00332095">
        <w:instrText xml:space="preserve"> REF _Ref506285488 \r \h </w:instrText>
      </w:r>
      <w:r w:rsidR="00332095">
        <w:fldChar w:fldCharType="separate"/>
      </w:r>
      <w:r w:rsidR="00826932">
        <w:t>K-19</w:t>
      </w:r>
      <w:r w:rsidR="00332095">
        <w:fldChar w:fldCharType="end"/>
      </w:r>
      <w:r w:rsidR="00332095">
        <w:t xml:space="preserve"> angivne metode</w:t>
      </w:r>
      <w:r w:rsidR="007F03DD">
        <w:t xml:space="preserve">. </w:t>
      </w:r>
    </w:p>
    <w:p w14:paraId="34A13A61" w14:textId="73DC040D" w:rsidR="00332095" w:rsidRDefault="00332095" w:rsidP="002C66D8"/>
    <w:p w14:paraId="0A7C55BC" w14:textId="77777777" w:rsidR="00332095" w:rsidRDefault="00332095" w:rsidP="00332095">
      <w:pPr>
        <w:pStyle w:val="Listeafsnit"/>
        <w:numPr>
          <w:ilvl w:val="0"/>
          <w:numId w:val="20"/>
        </w:numPr>
      </w:pPr>
      <w:bookmarkStart w:id="40" w:name="_Ref506285488"/>
      <w:r>
        <w:t>Metode for indeksregulering</w:t>
      </w:r>
      <w:bookmarkEnd w:id="40"/>
    </w:p>
    <w:p w14:paraId="5EF1BB00" w14:textId="2CF45670" w:rsidR="00332095" w:rsidRDefault="00332095" w:rsidP="00332095">
      <w:r>
        <w:t xml:space="preserve">Indeksregulering sker på grundlag af Finansministeriets indeks for ”Generelt pris- og lønindeks”. Vederlagene angivet i </w:t>
      </w:r>
      <w:r w:rsidR="004E303C">
        <w:fldChar w:fldCharType="begin"/>
      </w:r>
      <w:r w:rsidR="004E303C">
        <w:instrText xml:space="preserve"> REF _Ref512414612 \r \h </w:instrText>
      </w:r>
      <w:r w:rsidR="004E303C">
        <w:fldChar w:fldCharType="separate"/>
      </w:r>
      <w:r w:rsidR="00826932">
        <w:t>Bilag 20.a</w:t>
      </w:r>
      <w:r w:rsidR="004E303C">
        <w:fldChar w:fldCharType="end"/>
      </w:r>
      <w:r>
        <w:t xml:space="preserve"> er fastsat ud fra d</w:t>
      </w:r>
      <w:r w:rsidR="000B7DCF">
        <w:t>et</w:t>
      </w:r>
      <w:r>
        <w:t xml:space="preserve"> indeks, som var gældende på tidspunktet for Kontraktens indgåelse. Prisreguleringen foretages derfor årligt op imod niveau</w:t>
      </w:r>
      <w:r w:rsidR="000B7DCF">
        <w:t>et</w:t>
      </w:r>
      <w:r>
        <w:t xml:space="preserve"> gældende for samme måned, som den måned Kontrakten blev indgået. Reguleringen kan tidligst foretages ét år efter Kontraktens indgåelse. Såfremt Parterne ønsker at foretage indeksregulering i overensstemmelse med ovenstående, skal Parterne underrette hinanden herom med mindst én måneds skriftligt varsel. Reguleringen kan ikke ske med tilbagevirkende kraft. </w:t>
      </w:r>
    </w:p>
    <w:p w14:paraId="7A9FE78E" w14:textId="77777777" w:rsidR="00332095" w:rsidRDefault="00332095" w:rsidP="00332095"/>
    <w:p w14:paraId="7EFE4D5B" w14:textId="4731B4FE" w:rsidR="00561CE3" w:rsidRPr="00563ADA" w:rsidRDefault="00332095" w:rsidP="00563ADA">
      <w:r>
        <w:lastRenderedPageBreak/>
        <w:t>Såfremt ovennævnte prisindeks ophører med at blive vedligeholdt, eller metoden for opgørelsen af dette ændres væsentligt, vil indeksregulering efterfølgende ske ved regulering med en procentsats, der svarer til den gennemsnitlige udvikling af prisindekset for de seneste 24 måneder, inden prisindekset ophørte med at blive vedligeholdt, eller metoden blev ændret væsentligt.</w:t>
      </w:r>
      <w:r w:rsidR="00561CE3">
        <w:br w:type="page"/>
      </w:r>
    </w:p>
    <w:p w14:paraId="4DDD5D2C" w14:textId="1AB72475" w:rsidR="008B69A2" w:rsidRDefault="008B69A2" w:rsidP="008B69A2">
      <w:pPr>
        <w:pStyle w:val="Overskrift1"/>
      </w:pPr>
      <w:bookmarkStart w:id="41" w:name="_Toc517163832"/>
      <w:r>
        <w:lastRenderedPageBreak/>
        <w:t>KRAVMATRICE</w:t>
      </w:r>
      <w:bookmarkEnd w:id="41"/>
    </w:p>
    <w:p w14:paraId="404C51D4" w14:textId="1D187EA7" w:rsidR="008B69A2" w:rsidRDefault="008B69A2" w:rsidP="008B69A2">
      <w:r w:rsidRPr="008B69A2">
        <w:rPr>
          <w:highlight w:val="yellow"/>
        </w:rPr>
        <w:t>[Kravmatricen skal færdiggøres konkret. Såfremt Kontrakten er omfattet af udbudsreglerne</w:t>
      </w:r>
      <w:r w:rsidR="006C5B2B">
        <w:rPr>
          <w:highlight w:val="yellow"/>
        </w:rPr>
        <w:t>,</w:t>
      </w:r>
      <w:r w:rsidRPr="008B69A2">
        <w:rPr>
          <w:highlight w:val="yellow"/>
        </w:rPr>
        <w:t xml:space="preserve"> skal matricen færdiggøres i overensstemmelse med de konkrete udbudsretlige beslutninger, herunder med udbuddets udbudsbetingelser, jf. også den generelle vejledning til </w:t>
      </w:r>
      <w:r w:rsidR="006C5B2B">
        <w:rPr>
          <w:highlight w:val="yellow"/>
        </w:rPr>
        <w:t>Kunden</w:t>
      </w:r>
      <w:r w:rsidRPr="008B69A2">
        <w:rPr>
          <w:highlight w:val="yellow"/>
        </w:rPr>
        <w:t>.]</w:t>
      </w:r>
    </w:p>
    <w:p w14:paraId="4AEBFA9F" w14:textId="77777777" w:rsidR="008B69A2" w:rsidRDefault="008B69A2" w:rsidP="008B69A2"/>
    <w:p w14:paraId="59FA7FF9" w14:textId="4FBF7E32" w:rsidR="008B69A2" w:rsidRPr="008B69A2" w:rsidRDefault="008B69A2" w:rsidP="008B69A2">
      <w:pPr>
        <w:rPr>
          <w:b/>
          <w:i/>
        </w:rPr>
      </w:pPr>
      <w:r w:rsidRPr="008B69A2">
        <w:rPr>
          <w:b/>
          <w:i/>
        </w:rPr>
        <w:t xml:space="preserve">[Vejledning til </w:t>
      </w:r>
      <w:r w:rsidR="006C5B2B">
        <w:rPr>
          <w:b/>
          <w:i/>
        </w:rPr>
        <w:t>Leverandøren</w:t>
      </w:r>
      <w:r w:rsidRPr="008B69A2">
        <w:rPr>
          <w:b/>
          <w:i/>
        </w:rPr>
        <w:t>:</w:t>
      </w:r>
    </w:p>
    <w:p w14:paraId="7A0C67F8" w14:textId="54B13100" w:rsidR="008B69A2" w:rsidRDefault="003F3757" w:rsidP="008B69A2">
      <w:pPr>
        <w:rPr>
          <w:i/>
        </w:rPr>
      </w:pPr>
      <w:r>
        <w:rPr>
          <w:i/>
        </w:rPr>
        <w:t>Leverandøren</w:t>
      </w:r>
      <w:r w:rsidRPr="008B69A2">
        <w:rPr>
          <w:i/>
        </w:rPr>
        <w:t xml:space="preserve"> </w:t>
      </w:r>
      <w:r w:rsidR="008B69A2" w:rsidRPr="008B69A2">
        <w:rPr>
          <w:i/>
        </w:rPr>
        <w:t>skal udfylde kravmatricen med angivelse af graden, hvormed kravene i dette bilag er opfyldt.]</w:t>
      </w:r>
    </w:p>
    <w:p w14:paraId="48FD803E" w14:textId="77777777" w:rsidR="008B69A2" w:rsidRDefault="008B69A2" w:rsidP="008B69A2">
      <w:pPr>
        <w:rPr>
          <w:i/>
        </w:rPr>
      </w:pPr>
    </w:p>
    <w:tbl>
      <w:tblPr>
        <w:tblStyle w:val="Gittertabel4-farve5"/>
        <w:tblW w:w="0" w:type="auto"/>
        <w:tblLook w:val="04A0" w:firstRow="1" w:lastRow="0" w:firstColumn="1" w:lastColumn="0" w:noHBand="0" w:noVBand="1"/>
        <w:tblCaption w:val="Kravmatrice"/>
        <w:tblDescription w:val="Leverandøren skal udfylde kravmatricen med angivelse af graden, hvormed kravene i dette bilag er opfyldt"/>
      </w:tblPr>
      <w:tblGrid>
        <w:gridCol w:w="988"/>
        <w:gridCol w:w="1701"/>
        <w:gridCol w:w="1984"/>
        <w:gridCol w:w="3821"/>
      </w:tblGrid>
      <w:tr w:rsidR="00A42502" w:rsidRPr="00A42502" w14:paraId="2D574FEB" w14:textId="77777777" w:rsidTr="006C5B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402D9AC6" w14:textId="77777777" w:rsidR="008B69A2" w:rsidRPr="00A42502" w:rsidRDefault="008B69A2" w:rsidP="006C5B2B">
            <w:pPr>
              <w:ind w:right="11"/>
              <w:jc w:val="left"/>
              <w:rPr>
                <w:color w:val="000000" w:themeColor="text1"/>
                <w:sz w:val="20"/>
              </w:rPr>
            </w:pPr>
            <w:bookmarkStart w:id="42" w:name="_Hlk503962591"/>
            <w:r w:rsidRPr="00A42502">
              <w:rPr>
                <w:color w:val="000000" w:themeColor="text1"/>
                <w:sz w:val="20"/>
              </w:rPr>
              <w:t>Krav ID</w:t>
            </w:r>
          </w:p>
        </w:tc>
        <w:tc>
          <w:tcPr>
            <w:tcW w:w="1701" w:type="dxa"/>
          </w:tcPr>
          <w:p w14:paraId="30976603" w14:textId="77777777" w:rsidR="008B69A2" w:rsidRPr="00A42502" w:rsidRDefault="008B69A2" w:rsidP="006C5B2B">
            <w:pPr>
              <w:ind w:right="37"/>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Udbudsretlig kravrubricering</w:t>
            </w:r>
          </w:p>
        </w:tc>
        <w:tc>
          <w:tcPr>
            <w:tcW w:w="1984" w:type="dxa"/>
          </w:tcPr>
          <w:p w14:paraId="3B3150E4" w14:textId="68E30360" w:rsidR="00A42502" w:rsidRPr="00A42502"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Opfyldelsesgrad</w:t>
            </w:r>
          </w:p>
          <w:p w14:paraId="6DF8FF76" w14:textId="68057B0D" w:rsidR="00A42502" w:rsidRPr="00A42502"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(Helt</w:t>
            </w:r>
            <w:r w:rsidR="00A42502" w:rsidRPr="00A42502">
              <w:rPr>
                <w:color w:val="000000" w:themeColor="text1"/>
                <w:sz w:val="20"/>
              </w:rPr>
              <w:t xml:space="preserve"> </w:t>
            </w:r>
            <w:r w:rsidRPr="00A42502">
              <w:rPr>
                <w:color w:val="000000" w:themeColor="text1"/>
                <w:sz w:val="20"/>
              </w:rPr>
              <w:t>/</w:t>
            </w:r>
          </w:p>
          <w:p w14:paraId="046D3A65" w14:textId="354E8142" w:rsidR="00A42502" w:rsidRPr="00A42502"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Opfyldes delvist</w:t>
            </w:r>
            <w:r w:rsidR="00A42502" w:rsidRPr="00A42502">
              <w:rPr>
                <w:color w:val="000000" w:themeColor="text1"/>
                <w:sz w:val="20"/>
              </w:rPr>
              <w:t xml:space="preserve"> </w:t>
            </w:r>
            <w:r w:rsidRPr="00A42502">
              <w:rPr>
                <w:color w:val="000000" w:themeColor="text1"/>
                <w:sz w:val="20"/>
              </w:rPr>
              <w:t>/</w:t>
            </w:r>
          </w:p>
          <w:p w14:paraId="6D65F726" w14:textId="77777777" w:rsidR="008B69A2" w:rsidRPr="00A42502"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Opfyldes ikke)</w:t>
            </w:r>
          </w:p>
        </w:tc>
        <w:tc>
          <w:tcPr>
            <w:tcW w:w="3821" w:type="dxa"/>
          </w:tcPr>
          <w:p w14:paraId="7BC7716D" w14:textId="77777777" w:rsidR="008B69A2" w:rsidRPr="00A42502" w:rsidRDefault="008B69A2" w:rsidP="006C5B2B">
            <w:pPr>
              <w:ind w:right="29"/>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Leverandørens beskrivelse eller reference til løsningsbeskrivelse i separat dokument</w:t>
            </w:r>
          </w:p>
        </w:tc>
      </w:tr>
      <w:tr w:rsidR="00A42502" w14:paraId="7A1DF3BC"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9A1C4D0" w14:textId="77777777" w:rsidR="00A42502" w:rsidRPr="00A42502" w:rsidRDefault="00A42502" w:rsidP="008B69A2">
            <w:pPr>
              <w:ind w:right="11"/>
              <w:rPr>
                <w:sz w:val="20"/>
              </w:rPr>
            </w:pPr>
            <w:r w:rsidRPr="00A42502">
              <w:rPr>
                <w:sz w:val="20"/>
              </w:rPr>
              <w:t>K-1</w:t>
            </w:r>
          </w:p>
        </w:tc>
        <w:tc>
          <w:tcPr>
            <w:tcW w:w="1701" w:type="dxa"/>
          </w:tcPr>
          <w:p w14:paraId="1E081C42"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830C866"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284C247"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30E43741"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6A1C5A3F" w14:textId="77777777" w:rsidR="00A42502" w:rsidRPr="00A42502" w:rsidRDefault="00A42502" w:rsidP="008B69A2">
            <w:pPr>
              <w:ind w:right="11"/>
              <w:rPr>
                <w:sz w:val="20"/>
              </w:rPr>
            </w:pPr>
            <w:r w:rsidRPr="00A42502">
              <w:rPr>
                <w:sz w:val="20"/>
              </w:rPr>
              <w:t>K-2</w:t>
            </w:r>
          </w:p>
        </w:tc>
        <w:tc>
          <w:tcPr>
            <w:tcW w:w="1701" w:type="dxa"/>
          </w:tcPr>
          <w:p w14:paraId="5CBF12E7"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94516F7"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A8EBC8C"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7578598E"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E287DC6" w14:textId="77777777" w:rsidR="00A42502" w:rsidRPr="00A42502" w:rsidRDefault="00A42502" w:rsidP="008B69A2">
            <w:pPr>
              <w:ind w:right="11"/>
              <w:rPr>
                <w:sz w:val="20"/>
              </w:rPr>
            </w:pPr>
            <w:r w:rsidRPr="00A42502">
              <w:rPr>
                <w:sz w:val="20"/>
              </w:rPr>
              <w:t>K-3</w:t>
            </w:r>
          </w:p>
        </w:tc>
        <w:tc>
          <w:tcPr>
            <w:tcW w:w="1701" w:type="dxa"/>
          </w:tcPr>
          <w:p w14:paraId="326DE182"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C710421"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6B83FE7"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727EE482"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25109838" w14:textId="77777777" w:rsidR="00A42502" w:rsidRPr="00A42502" w:rsidRDefault="00A42502" w:rsidP="008B69A2">
            <w:pPr>
              <w:ind w:right="11"/>
              <w:rPr>
                <w:sz w:val="20"/>
              </w:rPr>
            </w:pPr>
            <w:r w:rsidRPr="00A42502">
              <w:rPr>
                <w:sz w:val="20"/>
              </w:rPr>
              <w:t>K-4</w:t>
            </w:r>
          </w:p>
        </w:tc>
        <w:tc>
          <w:tcPr>
            <w:tcW w:w="1701" w:type="dxa"/>
          </w:tcPr>
          <w:p w14:paraId="08AC6B19"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59954DE3"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FD9D2F5"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1B2CF5DA"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9113176" w14:textId="77777777" w:rsidR="00A42502" w:rsidRPr="00A42502" w:rsidRDefault="00A42502" w:rsidP="008B69A2">
            <w:pPr>
              <w:ind w:right="11"/>
              <w:rPr>
                <w:sz w:val="20"/>
              </w:rPr>
            </w:pPr>
            <w:r w:rsidRPr="00A42502">
              <w:rPr>
                <w:sz w:val="20"/>
              </w:rPr>
              <w:t>K-5</w:t>
            </w:r>
          </w:p>
        </w:tc>
        <w:tc>
          <w:tcPr>
            <w:tcW w:w="1701" w:type="dxa"/>
          </w:tcPr>
          <w:p w14:paraId="73A3346F"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71F8BD8"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044D1AE"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714E0411"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26E06691" w14:textId="77777777" w:rsidR="00A42502" w:rsidRPr="00A42502" w:rsidRDefault="00A42502" w:rsidP="008B69A2">
            <w:pPr>
              <w:ind w:right="11"/>
              <w:rPr>
                <w:sz w:val="20"/>
              </w:rPr>
            </w:pPr>
            <w:r w:rsidRPr="00A42502">
              <w:rPr>
                <w:sz w:val="20"/>
              </w:rPr>
              <w:t>K-6</w:t>
            </w:r>
          </w:p>
        </w:tc>
        <w:tc>
          <w:tcPr>
            <w:tcW w:w="1701" w:type="dxa"/>
          </w:tcPr>
          <w:p w14:paraId="09CB8F43"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143B4DC"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D7E4C9C"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78C9CEF7"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8FEE2B5" w14:textId="77777777" w:rsidR="00A42502" w:rsidRPr="00A42502" w:rsidRDefault="00A42502" w:rsidP="008B69A2">
            <w:pPr>
              <w:ind w:right="11"/>
              <w:rPr>
                <w:sz w:val="20"/>
              </w:rPr>
            </w:pPr>
            <w:r w:rsidRPr="00A42502">
              <w:rPr>
                <w:sz w:val="20"/>
              </w:rPr>
              <w:t>K-7</w:t>
            </w:r>
          </w:p>
        </w:tc>
        <w:tc>
          <w:tcPr>
            <w:tcW w:w="1701" w:type="dxa"/>
          </w:tcPr>
          <w:p w14:paraId="454C0E33"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1C98935"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BA15F16"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02B84F9E"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7115E339" w14:textId="77777777" w:rsidR="00A42502" w:rsidRPr="00A42502" w:rsidRDefault="00A42502" w:rsidP="008B69A2">
            <w:pPr>
              <w:ind w:right="11"/>
              <w:rPr>
                <w:sz w:val="20"/>
              </w:rPr>
            </w:pPr>
            <w:r w:rsidRPr="00A42502">
              <w:rPr>
                <w:sz w:val="20"/>
              </w:rPr>
              <w:t>K-8</w:t>
            </w:r>
          </w:p>
        </w:tc>
        <w:tc>
          <w:tcPr>
            <w:tcW w:w="1701" w:type="dxa"/>
          </w:tcPr>
          <w:p w14:paraId="6FBAE788"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05146E9"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91A583F"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1F6B84CE"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3D31512" w14:textId="77777777" w:rsidR="00A42502" w:rsidRPr="00A42502" w:rsidRDefault="00A42502" w:rsidP="008B69A2">
            <w:pPr>
              <w:ind w:right="11"/>
              <w:rPr>
                <w:sz w:val="20"/>
              </w:rPr>
            </w:pPr>
            <w:r w:rsidRPr="00A42502">
              <w:rPr>
                <w:sz w:val="20"/>
              </w:rPr>
              <w:t>K-9</w:t>
            </w:r>
          </w:p>
        </w:tc>
        <w:tc>
          <w:tcPr>
            <w:tcW w:w="1701" w:type="dxa"/>
          </w:tcPr>
          <w:p w14:paraId="03DC47FC"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4C23D14"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AADFA64"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2D7E26BC"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7AD28855" w14:textId="77777777" w:rsidR="00A42502" w:rsidRPr="00A42502" w:rsidRDefault="00A42502" w:rsidP="008B69A2">
            <w:pPr>
              <w:ind w:right="11"/>
              <w:rPr>
                <w:sz w:val="20"/>
              </w:rPr>
            </w:pPr>
            <w:r w:rsidRPr="00A42502">
              <w:rPr>
                <w:sz w:val="20"/>
              </w:rPr>
              <w:t>K-10</w:t>
            </w:r>
          </w:p>
        </w:tc>
        <w:tc>
          <w:tcPr>
            <w:tcW w:w="1701" w:type="dxa"/>
          </w:tcPr>
          <w:p w14:paraId="79C5193D"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9663CD0"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237B096"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7AF095E6"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BA0D5A3" w14:textId="77777777" w:rsidR="00A42502" w:rsidRPr="00A42502" w:rsidRDefault="00A42502" w:rsidP="008B69A2">
            <w:pPr>
              <w:ind w:right="11"/>
              <w:rPr>
                <w:sz w:val="20"/>
              </w:rPr>
            </w:pPr>
            <w:r w:rsidRPr="00A42502">
              <w:rPr>
                <w:sz w:val="20"/>
              </w:rPr>
              <w:t>K-11</w:t>
            </w:r>
          </w:p>
        </w:tc>
        <w:tc>
          <w:tcPr>
            <w:tcW w:w="1701" w:type="dxa"/>
          </w:tcPr>
          <w:p w14:paraId="4430A8CE"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9C8B178"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34CF8C6"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6281F94D"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7AB38DD0" w14:textId="77777777" w:rsidR="00A42502" w:rsidRPr="00A42502" w:rsidRDefault="00A42502" w:rsidP="008B69A2">
            <w:pPr>
              <w:ind w:right="11"/>
              <w:rPr>
                <w:sz w:val="20"/>
              </w:rPr>
            </w:pPr>
            <w:r w:rsidRPr="00A42502">
              <w:rPr>
                <w:sz w:val="20"/>
              </w:rPr>
              <w:t>K-12</w:t>
            </w:r>
          </w:p>
        </w:tc>
        <w:tc>
          <w:tcPr>
            <w:tcW w:w="1701" w:type="dxa"/>
          </w:tcPr>
          <w:p w14:paraId="55546F1B"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337331B"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7B0538D"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bookmarkEnd w:id="42"/>
      <w:tr w:rsidR="00A42502" w14:paraId="7E6B10B6"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F45D7D7" w14:textId="77777777" w:rsidR="00A42502" w:rsidRPr="00A42502" w:rsidRDefault="00A42502" w:rsidP="008B69A2">
            <w:pPr>
              <w:ind w:right="11"/>
              <w:rPr>
                <w:sz w:val="20"/>
              </w:rPr>
            </w:pPr>
            <w:r w:rsidRPr="00A42502">
              <w:rPr>
                <w:sz w:val="20"/>
              </w:rPr>
              <w:t>K-13</w:t>
            </w:r>
          </w:p>
        </w:tc>
        <w:tc>
          <w:tcPr>
            <w:tcW w:w="1701" w:type="dxa"/>
          </w:tcPr>
          <w:p w14:paraId="257616EB"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E59F79C"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C7CE507"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184E0A27"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6C6D07C8" w14:textId="77777777" w:rsidR="00A42502" w:rsidRPr="00A42502" w:rsidRDefault="00A42502" w:rsidP="008B69A2">
            <w:pPr>
              <w:ind w:right="11"/>
              <w:rPr>
                <w:sz w:val="20"/>
              </w:rPr>
            </w:pPr>
            <w:r w:rsidRPr="00A42502">
              <w:rPr>
                <w:sz w:val="20"/>
              </w:rPr>
              <w:t>K-14</w:t>
            </w:r>
          </w:p>
        </w:tc>
        <w:tc>
          <w:tcPr>
            <w:tcW w:w="1701" w:type="dxa"/>
          </w:tcPr>
          <w:p w14:paraId="2DD072A0"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30CA3E6A"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9C93DA0"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10848936"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4E84AA5" w14:textId="77777777" w:rsidR="00A42502" w:rsidRPr="00A42502" w:rsidRDefault="00A42502" w:rsidP="008B69A2">
            <w:pPr>
              <w:ind w:right="11"/>
              <w:rPr>
                <w:sz w:val="20"/>
              </w:rPr>
            </w:pPr>
            <w:r w:rsidRPr="00A42502">
              <w:rPr>
                <w:sz w:val="20"/>
              </w:rPr>
              <w:t>K-15</w:t>
            </w:r>
          </w:p>
        </w:tc>
        <w:tc>
          <w:tcPr>
            <w:tcW w:w="1701" w:type="dxa"/>
          </w:tcPr>
          <w:p w14:paraId="5E845290"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560481D"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9BB464C"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12B3B23B"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4790878D" w14:textId="77777777" w:rsidR="00A42502" w:rsidRPr="00A42502" w:rsidRDefault="00A42502" w:rsidP="008B69A2">
            <w:pPr>
              <w:ind w:right="11"/>
              <w:rPr>
                <w:sz w:val="20"/>
              </w:rPr>
            </w:pPr>
            <w:r w:rsidRPr="00A42502">
              <w:rPr>
                <w:sz w:val="20"/>
              </w:rPr>
              <w:t>K-16</w:t>
            </w:r>
          </w:p>
        </w:tc>
        <w:tc>
          <w:tcPr>
            <w:tcW w:w="1701" w:type="dxa"/>
          </w:tcPr>
          <w:p w14:paraId="0EAD0923"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F44402F"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85F14F5"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1869E233"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2C92FE4" w14:textId="77777777" w:rsidR="00A42502" w:rsidRPr="00A42502" w:rsidRDefault="00A42502" w:rsidP="008B69A2">
            <w:pPr>
              <w:ind w:right="11"/>
              <w:rPr>
                <w:sz w:val="20"/>
              </w:rPr>
            </w:pPr>
            <w:r w:rsidRPr="00A42502">
              <w:rPr>
                <w:sz w:val="20"/>
              </w:rPr>
              <w:t>K-17</w:t>
            </w:r>
          </w:p>
        </w:tc>
        <w:tc>
          <w:tcPr>
            <w:tcW w:w="1701" w:type="dxa"/>
          </w:tcPr>
          <w:p w14:paraId="4B3F08FB"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4C486624"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0834E92"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4506DE77"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311789FB" w14:textId="77777777" w:rsidR="00A42502" w:rsidRPr="00A42502" w:rsidRDefault="00A42502" w:rsidP="008B69A2">
            <w:pPr>
              <w:ind w:right="11"/>
              <w:rPr>
                <w:sz w:val="20"/>
              </w:rPr>
            </w:pPr>
            <w:r w:rsidRPr="00A42502">
              <w:rPr>
                <w:sz w:val="20"/>
              </w:rPr>
              <w:t>K-18</w:t>
            </w:r>
          </w:p>
        </w:tc>
        <w:tc>
          <w:tcPr>
            <w:tcW w:w="1701" w:type="dxa"/>
          </w:tcPr>
          <w:p w14:paraId="6F1538A6"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C2B29AC"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EEA7E95"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7FE0EF72"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39147E2" w14:textId="77777777" w:rsidR="00A42502" w:rsidRPr="00A42502" w:rsidRDefault="00A42502" w:rsidP="008B69A2">
            <w:pPr>
              <w:ind w:right="11"/>
              <w:rPr>
                <w:sz w:val="20"/>
              </w:rPr>
            </w:pPr>
            <w:r w:rsidRPr="00A42502">
              <w:rPr>
                <w:sz w:val="20"/>
              </w:rPr>
              <w:t>K-19</w:t>
            </w:r>
          </w:p>
        </w:tc>
        <w:tc>
          <w:tcPr>
            <w:tcW w:w="1701" w:type="dxa"/>
          </w:tcPr>
          <w:p w14:paraId="677F7BF8"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20C3D541"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3D8D145"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bl>
    <w:p w14:paraId="231FACDD" w14:textId="77777777" w:rsidR="008B69A2" w:rsidRPr="008B69A2" w:rsidRDefault="008B69A2" w:rsidP="0061011F"/>
    <w:sectPr w:rsidR="008B69A2" w:rsidRPr="008B69A2" w:rsidSect="007D35C5">
      <w:headerReference w:type="even" r:id="rId9"/>
      <w:headerReference w:type="default" r:id="rId10"/>
      <w:footerReference w:type="even" r:id="rId11"/>
      <w:footerReference w:type="default" r:id="rId12"/>
      <w:headerReference w:type="first" r:id="rId13"/>
      <w:footerReference w:type="first" r:id="rId14"/>
      <w:pgSz w:w="11906" w:h="16838" w:code="9"/>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7FCD9" w14:textId="77777777" w:rsidR="00F67D91" w:rsidRDefault="00F67D91" w:rsidP="007D35C5">
      <w:pPr>
        <w:spacing w:line="240" w:lineRule="auto"/>
      </w:pPr>
      <w:r>
        <w:separator/>
      </w:r>
    </w:p>
  </w:endnote>
  <w:endnote w:type="continuationSeparator" w:id="0">
    <w:p w14:paraId="2A76CBD2" w14:textId="77777777" w:rsidR="00F67D91" w:rsidRDefault="00F67D91" w:rsidP="007D35C5">
      <w:pPr>
        <w:spacing w:line="240" w:lineRule="auto"/>
      </w:pPr>
      <w:r>
        <w:continuationSeparator/>
      </w:r>
    </w:p>
  </w:endnote>
  <w:endnote w:type="continuationNotice" w:id="1">
    <w:p w14:paraId="0A1AE31A" w14:textId="77777777" w:rsidR="00F67D91" w:rsidRDefault="00F67D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83408" w14:textId="77777777" w:rsidR="00563ADA" w:rsidRDefault="00563AD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660B" w14:textId="3B4ECF69" w:rsidR="00544281" w:rsidRDefault="00544281" w:rsidP="00563ADA">
    <w:pPr>
      <w:pStyle w:val="Sidefod"/>
      <w:spacing w:line="240" w:lineRule="auto"/>
      <w:jc w:val="both"/>
    </w:pPr>
  </w:p>
  <w:p w14:paraId="57DFA955" w14:textId="52BD7440" w:rsidR="00544281" w:rsidRDefault="00F67D91" w:rsidP="00B23C97">
    <w:pPr>
      <w:pStyle w:val="Sidefod"/>
      <w:spacing w:line="240" w:lineRule="auto"/>
      <w:jc w:val="right"/>
    </w:pPr>
    <w:sdt>
      <w:sdtPr>
        <w:alias w:val="Page"/>
        <w:tag w:val="Page"/>
        <w:id w:val="909508879"/>
        <w:placeholder>
          <w:docPart w:val="7BF018E9DE49475A915AD145917CD45E"/>
        </w:placeholder>
        <w:text/>
      </w:sdtPr>
      <w:sdtEndPr/>
      <w:sdtContent>
        <w:r w:rsidR="00544281">
          <w:t>Side</w:t>
        </w:r>
      </w:sdtContent>
    </w:sdt>
    <w:r w:rsidR="00544281">
      <w:t xml:space="preserve"> </w:t>
    </w:r>
    <w:r w:rsidR="00544281">
      <w:fldChar w:fldCharType="begin"/>
    </w:r>
    <w:r w:rsidR="00544281">
      <w:instrText xml:space="preserve"> PAGE   \* MERGEFORMAT </w:instrText>
    </w:r>
    <w:r w:rsidR="00544281">
      <w:fldChar w:fldCharType="separate"/>
    </w:r>
    <w:r w:rsidR="00953679">
      <w:rPr>
        <w:noProof/>
      </w:rPr>
      <w:t>5</w:t>
    </w:r>
    <w:r w:rsidR="00544281">
      <w:rPr>
        <w:noProof/>
      </w:rPr>
      <w:fldChar w:fldCharType="end"/>
    </w:r>
    <w:r w:rsidR="00544281">
      <w:rPr>
        <w:noProof/>
      </w:rPr>
      <w:t>/</w:t>
    </w:r>
    <w:r w:rsidR="00544281">
      <w:rPr>
        <w:noProof/>
      </w:rPr>
      <w:fldChar w:fldCharType="begin"/>
    </w:r>
    <w:r w:rsidR="00544281">
      <w:rPr>
        <w:noProof/>
      </w:rPr>
      <w:instrText xml:space="preserve"> NUMPAGES  \* Arabic  \* MERGEFORMAT </w:instrText>
    </w:r>
    <w:r w:rsidR="00544281">
      <w:rPr>
        <w:noProof/>
      </w:rPr>
      <w:fldChar w:fldCharType="separate"/>
    </w:r>
    <w:r w:rsidR="00953679">
      <w:rPr>
        <w:noProof/>
      </w:rPr>
      <w:t>11</w:t>
    </w:r>
    <w:r w:rsidR="0054428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E609" w14:textId="068E64F5" w:rsidR="00544281" w:rsidRDefault="00544281" w:rsidP="00563ADA">
    <w:pPr>
      <w:pStyle w:val="Sidefo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886B7" w14:textId="77777777" w:rsidR="00F67D91" w:rsidRDefault="00F67D91" w:rsidP="007D35C5">
      <w:pPr>
        <w:spacing w:line="240" w:lineRule="auto"/>
      </w:pPr>
      <w:r>
        <w:separator/>
      </w:r>
    </w:p>
  </w:footnote>
  <w:footnote w:type="continuationSeparator" w:id="0">
    <w:p w14:paraId="662372F9" w14:textId="77777777" w:rsidR="00F67D91" w:rsidRDefault="00F67D91" w:rsidP="007D35C5">
      <w:pPr>
        <w:spacing w:line="240" w:lineRule="auto"/>
      </w:pPr>
      <w:r>
        <w:continuationSeparator/>
      </w:r>
    </w:p>
  </w:footnote>
  <w:footnote w:type="continuationNotice" w:id="1">
    <w:p w14:paraId="5CDED300" w14:textId="77777777" w:rsidR="00F67D91" w:rsidRDefault="00F67D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7BE58" w14:textId="77777777" w:rsidR="00563ADA" w:rsidRDefault="00563AD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F1F3" w14:textId="7E309152" w:rsidR="00544281" w:rsidRPr="003B448E" w:rsidRDefault="00E063CF" w:rsidP="003B448E">
    <w:pPr>
      <w:pStyle w:val="Sidehoved"/>
    </w:pPr>
    <w:r>
      <w:rPr>
        <w:noProof/>
      </w:rPr>
      <w:drawing>
        <wp:anchor distT="0" distB="0" distL="114300" distR="114300" simplePos="0" relativeHeight="251660288" behindDoc="1" locked="0" layoutInCell="1" allowOverlap="1" wp14:anchorId="479D9201" wp14:editId="7AF9AC38">
          <wp:simplePos x="0" y="0"/>
          <wp:positionH relativeFrom="page">
            <wp:align>center</wp:align>
          </wp:positionH>
          <wp:positionV relativeFrom="paragraph">
            <wp:posOffset>110505</wp:posOffset>
          </wp:positionV>
          <wp:extent cx="2115820" cy="414655"/>
          <wp:effectExtent l="0" t="0" r="0" b="4445"/>
          <wp:wrapNone/>
          <wp:docPr id="11" name="Billede 1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08E7" w14:textId="205F2C3B" w:rsidR="00544281" w:rsidRDefault="00E063CF" w:rsidP="006D1319">
    <w:pPr>
      <w:pStyle w:val="Sidehoved"/>
      <w:spacing w:line="240" w:lineRule="auto"/>
    </w:pPr>
    <w:r>
      <w:rPr>
        <w:noProof/>
      </w:rPr>
      <w:drawing>
        <wp:anchor distT="0" distB="0" distL="114300" distR="114300" simplePos="0" relativeHeight="251658240" behindDoc="1" locked="0" layoutInCell="1" allowOverlap="1" wp14:anchorId="301628C4" wp14:editId="07F3D800">
          <wp:simplePos x="0" y="0"/>
          <wp:positionH relativeFrom="page">
            <wp:align>center</wp:align>
          </wp:positionH>
          <wp:positionV relativeFrom="paragraph">
            <wp:posOffset>150125</wp:posOffset>
          </wp:positionV>
          <wp:extent cx="2115820" cy="414655"/>
          <wp:effectExtent l="0" t="0" r="0" b="4445"/>
          <wp:wrapNone/>
          <wp:docPr id="6" name="Billede 6"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A0C1FFA"/>
    <w:multiLevelType w:val="hybridMultilevel"/>
    <w:tmpl w:val="0268C2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E1E48A9"/>
    <w:multiLevelType w:val="hybridMultilevel"/>
    <w:tmpl w:val="646AC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E3A09A6"/>
    <w:multiLevelType w:val="hybridMultilevel"/>
    <w:tmpl w:val="B7FCD6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E8C3DE0"/>
    <w:multiLevelType w:val="multilevel"/>
    <w:tmpl w:val="BAC6E3F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5" w15:restartNumberingAfterBreak="0">
    <w:nsid w:val="19DE06BF"/>
    <w:multiLevelType w:val="hybridMultilevel"/>
    <w:tmpl w:val="EDDC9C5C"/>
    <w:lvl w:ilvl="0" w:tplc="216CAAD8">
      <w:numFmt w:val="bullet"/>
      <w:lvlText w:val="•"/>
      <w:lvlJc w:val="left"/>
      <w:pPr>
        <w:ind w:left="1003" w:hanging="435"/>
      </w:pPr>
      <w:rPr>
        <w:rFonts w:ascii="Times New Roman" w:eastAsia="Times New Roman" w:hAnsi="Times New Roman" w:cs="Times New Roman"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6" w15:restartNumberingAfterBreak="0">
    <w:nsid w:val="1A4618E2"/>
    <w:multiLevelType w:val="hybridMultilevel"/>
    <w:tmpl w:val="2C90E0DE"/>
    <w:lvl w:ilvl="0" w:tplc="44469206">
      <w:start w:val="1"/>
      <w:numFmt w:val="decimal"/>
      <w:lvlText w:val="K-%1"/>
      <w:lvlJc w:val="left"/>
      <w:pPr>
        <w:ind w:left="360" w:hanging="360"/>
      </w:pPr>
      <w:rPr>
        <w:rFonts w:hint="default"/>
        <w: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205514BA"/>
    <w:multiLevelType w:val="hybridMultilevel"/>
    <w:tmpl w:val="CD0AADB6"/>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2B11F7A"/>
    <w:multiLevelType w:val="hybridMultilevel"/>
    <w:tmpl w:val="2BDE71BC"/>
    <w:lvl w:ilvl="0" w:tplc="B81EE87E">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15:restartNumberingAfterBreak="0">
    <w:nsid w:val="516C67E7"/>
    <w:multiLevelType w:val="hybridMultilevel"/>
    <w:tmpl w:val="85D24B1C"/>
    <w:lvl w:ilvl="0" w:tplc="CFF687BE">
      <w:start w:val="1"/>
      <w:numFmt w:val="decimal"/>
      <w:pStyle w:val="Punktafsnita"/>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pStyle w:val="Punktafsniti"/>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1D5674D"/>
    <w:multiLevelType w:val="multilevel"/>
    <w:tmpl w:val="861EC876"/>
    <w:lvl w:ilvl="0">
      <w:start w:val="1"/>
      <w:numFmt w:val="lowerLetter"/>
      <w:lvlText w:val="Bilag 20.%1"/>
      <w:lvlJc w:val="left"/>
      <w:pPr>
        <w:ind w:left="1134" w:hanging="1134"/>
      </w:pPr>
      <w:rPr>
        <w:rFonts w:hint="default"/>
      </w:rPr>
    </w:lvl>
    <w:lvl w:ilvl="1">
      <w:start w:val="1"/>
      <w:numFmt w:val="decimal"/>
      <w:lvlText w:val="Bilag 2.%1.%2"/>
      <w:lvlJc w:val="left"/>
      <w:pPr>
        <w:ind w:left="1418"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4"/>
  </w:num>
  <w:num w:numId="14">
    <w:abstractNumId w:val="22"/>
  </w:num>
  <w:num w:numId="15">
    <w:abstractNumId w:val="20"/>
  </w:num>
  <w:num w:numId="16">
    <w:abstractNumId w:val="15"/>
  </w:num>
  <w:num w:numId="17">
    <w:abstractNumId w:val="19"/>
  </w:num>
  <w:num w:numId="18">
    <w:abstractNumId w:val="21"/>
  </w:num>
  <w:num w:numId="19">
    <w:abstractNumId w:val="10"/>
  </w:num>
  <w:num w:numId="20">
    <w:abstractNumId w:val="16"/>
  </w:num>
  <w:num w:numId="21">
    <w:abstractNumId w:val="12"/>
  </w:num>
  <w:num w:numId="22">
    <w:abstractNumId w:val="17"/>
  </w:num>
  <w:num w:numId="2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Formatting/>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3"/>
    <w:docVar w:name="TMS_Office_ID" w:val="15"/>
    <w:docVar w:name="TMS_Template_ID" w:val="153"/>
    <w:docVar w:name="TMS_Unit_ID" w:val="30"/>
  </w:docVars>
  <w:rsids>
    <w:rsidRoot w:val="00B54CBD"/>
    <w:rsid w:val="0000246C"/>
    <w:rsid w:val="00005E8C"/>
    <w:rsid w:val="00007E3C"/>
    <w:rsid w:val="00010534"/>
    <w:rsid w:val="000132D0"/>
    <w:rsid w:val="00027915"/>
    <w:rsid w:val="00030A6C"/>
    <w:rsid w:val="00033560"/>
    <w:rsid w:val="00037E3C"/>
    <w:rsid w:val="000431F0"/>
    <w:rsid w:val="00047673"/>
    <w:rsid w:val="000540A4"/>
    <w:rsid w:val="00057A0B"/>
    <w:rsid w:val="00061129"/>
    <w:rsid w:val="000632BB"/>
    <w:rsid w:val="00065957"/>
    <w:rsid w:val="0007054F"/>
    <w:rsid w:val="00074FBD"/>
    <w:rsid w:val="00082626"/>
    <w:rsid w:val="000869D7"/>
    <w:rsid w:val="000933A8"/>
    <w:rsid w:val="00096D23"/>
    <w:rsid w:val="000A5BD0"/>
    <w:rsid w:val="000B1B5B"/>
    <w:rsid w:val="000B42D2"/>
    <w:rsid w:val="000B5A64"/>
    <w:rsid w:val="000B7DCF"/>
    <w:rsid w:val="000C1044"/>
    <w:rsid w:val="000D5718"/>
    <w:rsid w:val="000D5C3D"/>
    <w:rsid w:val="000E222A"/>
    <w:rsid w:val="000E3950"/>
    <w:rsid w:val="000E7C6C"/>
    <w:rsid w:val="000F0B68"/>
    <w:rsid w:val="00116A1B"/>
    <w:rsid w:val="001224E6"/>
    <w:rsid w:val="0012701F"/>
    <w:rsid w:val="001358D5"/>
    <w:rsid w:val="00135977"/>
    <w:rsid w:val="0014063F"/>
    <w:rsid w:val="00142474"/>
    <w:rsid w:val="00145461"/>
    <w:rsid w:val="00156825"/>
    <w:rsid w:val="0017193F"/>
    <w:rsid w:val="00172C4B"/>
    <w:rsid w:val="00174A33"/>
    <w:rsid w:val="0017614A"/>
    <w:rsid w:val="00182C8D"/>
    <w:rsid w:val="00191216"/>
    <w:rsid w:val="00194FA0"/>
    <w:rsid w:val="001B25FC"/>
    <w:rsid w:val="001B3084"/>
    <w:rsid w:val="001B6271"/>
    <w:rsid w:val="001D5E33"/>
    <w:rsid w:val="001D7F70"/>
    <w:rsid w:val="001E2EC6"/>
    <w:rsid w:val="001F58EA"/>
    <w:rsid w:val="00202203"/>
    <w:rsid w:val="00215443"/>
    <w:rsid w:val="00220252"/>
    <w:rsid w:val="00240845"/>
    <w:rsid w:val="00240E0D"/>
    <w:rsid w:val="002460A4"/>
    <w:rsid w:val="002471A2"/>
    <w:rsid w:val="0025767D"/>
    <w:rsid w:val="0027168A"/>
    <w:rsid w:val="00274803"/>
    <w:rsid w:val="0027643B"/>
    <w:rsid w:val="00280ACD"/>
    <w:rsid w:val="00291A72"/>
    <w:rsid w:val="00294841"/>
    <w:rsid w:val="00297FDA"/>
    <w:rsid w:val="002A77BC"/>
    <w:rsid w:val="002B1CEB"/>
    <w:rsid w:val="002B3496"/>
    <w:rsid w:val="002B48F3"/>
    <w:rsid w:val="002C25A2"/>
    <w:rsid w:val="002C2CCC"/>
    <w:rsid w:val="002C380B"/>
    <w:rsid w:val="002C5D65"/>
    <w:rsid w:val="002C66D8"/>
    <w:rsid w:val="002E474B"/>
    <w:rsid w:val="002F2190"/>
    <w:rsid w:val="002F3244"/>
    <w:rsid w:val="00302310"/>
    <w:rsid w:val="003024E0"/>
    <w:rsid w:val="0031118C"/>
    <w:rsid w:val="0031322B"/>
    <w:rsid w:val="00323CC2"/>
    <w:rsid w:val="00326B0F"/>
    <w:rsid w:val="00327C4D"/>
    <w:rsid w:val="00332095"/>
    <w:rsid w:val="003371E6"/>
    <w:rsid w:val="00350BED"/>
    <w:rsid w:val="00356078"/>
    <w:rsid w:val="003604FF"/>
    <w:rsid w:val="0036333B"/>
    <w:rsid w:val="003721AD"/>
    <w:rsid w:val="00372D65"/>
    <w:rsid w:val="00384DEA"/>
    <w:rsid w:val="00385D81"/>
    <w:rsid w:val="00392997"/>
    <w:rsid w:val="003965BD"/>
    <w:rsid w:val="00397057"/>
    <w:rsid w:val="003A76EE"/>
    <w:rsid w:val="003A7B28"/>
    <w:rsid w:val="003B448E"/>
    <w:rsid w:val="003C0D40"/>
    <w:rsid w:val="003D12A0"/>
    <w:rsid w:val="003D2F1F"/>
    <w:rsid w:val="003D4FD4"/>
    <w:rsid w:val="003E7B40"/>
    <w:rsid w:val="003F3757"/>
    <w:rsid w:val="004006A0"/>
    <w:rsid w:val="00402FA2"/>
    <w:rsid w:val="00403A15"/>
    <w:rsid w:val="00406235"/>
    <w:rsid w:val="004160A8"/>
    <w:rsid w:val="004164D4"/>
    <w:rsid w:val="004329F4"/>
    <w:rsid w:val="00437964"/>
    <w:rsid w:val="00444D04"/>
    <w:rsid w:val="004509CF"/>
    <w:rsid w:val="00451FDE"/>
    <w:rsid w:val="00452A54"/>
    <w:rsid w:val="0046480C"/>
    <w:rsid w:val="00472457"/>
    <w:rsid w:val="00474926"/>
    <w:rsid w:val="00476714"/>
    <w:rsid w:val="00483B77"/>
    <w:rsid w:val="00487024"/>
    <w:rsid w:val="004A575C"/>
    <w:rsid w:val="004A5962"/>
    <w:rsid w:val="004C0F44"/>
    <w:rsid w:val="004D1DB2"/>
    <w:rsid w:val="004D7A46"/>
    <w:rsid w:val="004E303C"/>
    <w:rsid w:val="004E3D76"/>
    <w:rsid w:val="004E6105"/>
    <w:rsid w:val="005112F0"/>
    <w:rsid w:val="0051762B"/>
    <w:rsid w:val="00524B22"/>
    <w:rsid w:val="00536CCE"/>
    <w:rsid w:val="00544281"/>
    <w:rsid w:val="00553F6A"/>
    <w:rsid w:val="00561CE3"/>
    <w:rsid w:val="00563ADA"/>
    <w:rsid w:val="00564E9C"/>
    <w:rsid w:val="00574E53"/>
    <w:rsid w:val="00575A04"/>
    <w:rsid w:val="00580D80"/>
    <w:rsid w:val="00592696"/>
    <w:rsid w:val="00597625"/>
    <w:rsid w:val="005A5D08"/>
    <w:rsid w:val="005A6427"/>
    <w:rsid w:val="005B5773"/>
    <w:rsid w:val="005C36E5"/>
    <w:rsid w:val="005C42BF"/>
    <w:rsid w:val="005C71E4"/>
    <w:rsid w:val="005D0EDA"/>
    <w:rsid w:val="005D56D9"/>
    <w:rsid w:val="005E2D08"/>
    <w:rsid w:val="005F0E3E"/>
    <w:rsid w:val="005F137E"/>
    <w:rsid w:val="005F6D57"/>
    <w:rsid w:val="00604DB0"/>
    <w:rsid w:val="0061011F"/>
    <w:rsid w:val="006355CE"/>
    <w:rsid w:val="00635D4C"/>
    <w:rsid w:val="00637853"/>
    <w:rsid w:val="00643498"/>
    <w:rsid w:val="006512B2"/>
    <w:rsid w:val="006528B4"/>
    <w:rsid w:val="00653785"/>
    <w:rsid w:val="006600BA"/>
    <w:rsid w:val="00664602"/>
    <w:rsid w:val="00665ECD"/>
    <w:rsid w:val="0068343A"/>
    <w:rsid w:val="006863A6"/>
    <w:rsid w:val="00686C2E"/>
    <w:rsid w:val="00692A12"/>
    <w:rsid w:val="006955AD"/>
    <w:rsid w:val="006A04DE"/>
    <w:rsid w:val="006A2F6F"/>
    <w:rsid w:val="006A3E38"/>
    <w:rsid w:val="006C5B2B"/>
    <w:rsid w:val="006D1319"/>
    <w:rsid w:val="006D17CC"/>
    <w:rsid w:val="006D2DDB"/>
    <w:rsid w:val="006F28B6"/>
    <w:rsid w:val="006F5055"/>
    <w:rsid w:val="006F6D15"/>
    <w:rsid w:val="006F6E6A"/>
    <w:rsid w:val="00710630"/>
    <w:rsid w:val="00710D99"/>
    <w:rsid w:val="00723DC8"/>
    <w:rsid w:val="007335A8"/>
    <w:rsid w:val="0074204C"/>
    <w:rsid w:val="007463DC"/>
    <w:rsid w:val="00763451"/>
    <w:rsid w:val="00764412"/>
    <w:rsid w:val="00767835"/>
    <w:rsid w:val="00773184"/>
    <w:rsid w:val="00775DA6"/>
    <w:rsid w:val="00776DEC"/>
    <w:rsid w:val="00781EDF"/>
    <w:rsid w:val="00783519"/>
    <w:rsid w:val="007A67ED"/>
    <w:rsid w:val="007C25D5"/>
    <w:rsid w:val="007C4585"/>
    <w:rsid w:val="007C6447"/>
    <w:rsid w:val="007D35C5"/>
    <w:rsid w:val="007F03DD"/>
    <w:rsid w:val="007F19C1"/>
    <w:rsid w:val="007F208A"/>
    <w:rsid w:val="007F29BD"/>
    <w:rsid w:val="00800D8A"/>
    <w:rsid w:val="008058C4"/>
    <w:rsid w:val="00810AED"/>
    <w:rsid w:val="008205B8"/>
    <w:rsid w:val="0082182E"/>
    <w:rsid w:val="00821E7D"/>
    <w:rsid w:val="00826932"/>
    <w:rsid w:val="00827339"/>
    <w:rsid w:val="008315CA"/>
    <w:rsid w:val="0083570A"/>
    <w:rsid w:val="0084012B"/>
    <w:rsid w:val="00845CD0"/>
    <w:rsid w:val="00850B70"/>
    <w:rsid w:val="008541C1"/>
    <w:rsid w:val="008560B8"/>
    <w:rsid w:val="008610B5"/>
    <w:rsid w:val="008658E0"/>
    <w:rsid w:val="00865F57"/>
    <w:rsid w:val="008725FE"/>
    <w:rsid w:val="00875CAB"/>
    <w:rsid w:val="008B69A2"/>
    <w:rsid w:val="008B7A3B"/>
    <w:rsid w:val="008D0263"/>
    <w:rsid w:val="008D7ACE"/>
    <w:rsid w:val="008E15E7"/>
    <w:rsid w:val="008E4A05"/>
    <w:rsid w:val="008E6C2B"/>
    <w:rsid w:val="008F3AAC"/>
    <w:rsid w:val="008F4F26"/>
    <w:rsid w:val="00914A8B"/>
    <w:rsid w:val="0092492E"/>
    <w:rsid w:val="00930204"/>
    <w:rsid w:val="0093597E"/>
    <w:rsid w:val="00937017"/>
    <w:rsid w:val="00942560"/>
    <w:rsid w:val="00951700"/>
    <w:rsid w:val="00953679"/>
    <w:rsid w:val="00957AFD"/>
    <w:rsid w:val="00961DA0"/>
    <w:rsid w:val="0096224D"/>
    <w:rsid w:val="0096415B"/>
    <w:rsid w:val="00965D03"/>
    <w:rsid w:val="00972FA5"/>
    <w:rsid w:val="00974AA1"/>
    <w:rsid w:val="00976171"/>
    <w:rsid w:val="00982266"/>
    <w:rsid w:val="009B3E05"/>
    <w:rsid w:val="009D79E8"/>
    <w:rsid w:val="009E0D4B"/>
    <w:rsid w:val="00A0167B"/>
    <w:rsid w:val="00A121D5"/>
    <w:rsid w:val="00A12C82"/>
    <w:rsid w:val="00A17B68"/>
    <w:rsid w:val="00A17EBE"/>
    <w:rsid w:val="00A17F99"/>
    <w:rsid w:val="00A32516"/>
    <w:rsid w:val="00A32DC7"/>
    <w:rsid w:val="00A42502"/>
    <w:rsid w:val="00A56886"/>
    <w:rsid w:val="00A63E68"/>
    <w:rsid w:val="00A7002D"/>
    <w:rsid w:val="00A70E20"/>
    <w:rsid w:val="00A80180"/>
    <w:rsid w:val="00A80B60"/>
    <w:rsid w:val="00A80D7B"/>
    <w:rsid w:val="00A81BC7"/>
    <w:rsid w:val="00A87525"/>
    <w:rsid w:val="00A94FF6"/>
    <w:rsid w:val="00A9639F"/>
    <w:rsid w:val="00AA04DC"/>
    <w:rsid w:val="00AA1B7F"/>
    <w:rsid w:val="00AA1E0E"/>
    <w:rsid w:val="00AA6475"/>
    <w:rsid w:val="00AA7DE4"/>
    <w:rsid w:val="00AB07CD"/>
    <w:rsid w:val="00AB6B0E"/>
    <w:rsid w:val="00AC359D"/>
    <w:rsid w:val="00AC48CF"/>
    <w:rsid w:val="00AD274B"/>
    <w:rsid w:val="00AD4722"/>
    <w:rsid w:val="00AD496E"/>
    <w:rsid w:val="00AF36A9"/>
    <w:rsid w:val="00AF484F"/>
    <w:rsid w:val="00AF6B24"/>
    <w:rsid w:val="00B157C4"/>
    <w:rsid w:val="00B23C97"/>
    <w:rsid w:val="00B359BB"/>
    <w:rsid w:val="00B52038"/>
    <w:rsid w:val="00B531D1"/>
    <w:rsid w:val="00B54CBD"/>
    <w:rsid w:val="00B70CD5"/>
    <w:rsid w:val="00B71089"/>
    <w:rsid w:val="00B75E2D"/>
    <w:rsid w:val="00B8319B"/>
    <w:rsid w:val="00B84443"/>
    <w:rsid w:val="00B92D94"/>
    <w:rsid w:val="00BA152E"/>
    <w:rsid w:val="00BA1633"/>
    <w:rsid w:val="00BA4C10"/>
    <w:rsid w:val="00BA5296"/>
    <w:rsid w:val="00BB1839"/>
    <w:rsid w:val="00BB5735"/>
    <w:rsid w:val="00BB6A2A"/>
    <w:rsid w:val="00BC0E27"/>
    <w:rsid w:val="00BC367D"/>
    <w:rsid w:val="00BC5A0B"/>
    <w:rsid w:val="00BE1237"/>
    <w:rsid w:val="00BE73F8"/>
    <w:rsid w:val="00BF6E3F"/>
    <w:rsid w:val="00C038AD"/>
    <w:rsid w:val="00C03D45"/>
    <w:rsid w:val="00C069D5"/>
    <w:rsid w:val="00C0712D"/>
    <w:rsid w:val="00C10135"/>
    <w:rsid w:val="00C13C9A"/>
    <w:rsid w:val="00C212BD"/>
    <w:rsid w:val="00C308D3"/>
    <w:rsid w:val="00C30BA9"/>
    <w:rsid w:val="00C30BC4"/>
    <w:rsid w:val="00C44EDB"/>
    <w:rsid w:val="00C56F4F"/>
    <w:rsid w:val="00C61C10"/>
    <w:rsid w:val="00C7213C"/>
    <w:rsid w:val="00C816BC"/>
    <w:rsid w:val="00C81DD7"/>
    <w:rsid w:val="00C854C1"/>
    <w:rsid w:val="00C942CF"/>
    <w:rsid w:val="00C979E7"/>
    <w:rsid w:val="00CA2508"/>
    <w:rsid w:val="00CA7A98"/>
    <w:rsid w:val="00CA7EA7"/>
    <w:rsid w:val="00CC23BA"/>
    <w:rsid w:val="00CC246B"/>
    <w:rsid w:val="00CC3344"/>
    <w:rsid w:val="00CD6ACA"/>
    <w:rsid w:val="00CE1B7D"/>
    <w:rsid w:val="00CE6B77"/>
    <w:rsid w:val="00CF1488"/>
    <w:rsid w:val="00CF2536"/>
    <w:rsid w:val="00D20C1A"/>
    <w:rsid w:val="00D21EA2"/>
    <w:rsid w:val="00D231C6"/>
    <w:rsid w:val="00D2357E"/>
    <w:rsid w:val="00D27C80"/>
    <w:rsid w:val="00D3412C"/>
    <w:rsid w:val="00D3485F"/>
    <w:rsid w:val="00D36A2F"/>
    <w:rsid w:val="00D45DD3"/>
    <w:rsid w:val="00D47027"/>
    <w:rsid w:val="00D47680"/>
    <w:rsid w:val="00D51118"/>
    <w:rsid w:val="00D5439D"/>
    <w:rsid w:val="00D56D45"/>
    <w:rsid w:val="00D64E92"/>
    <w:rsid w:val="00D72ADF"/>
    <w:rsid w:val="00D738C9"/>
    <w:rsid w:val="00D86278"/>
    <w:rsid w:val="00D90A74"/>
    <w:rsid w:val="00DA082E"/>
    <w:rsid w:val="00DA14D4"/>
    <w:rsid w:val="00DA3AF3"/>
    <w:rsid w:val="00DA6999"/>
    <w:rsid w:val="00DB3BE4"/>
    <w:rsid w:val="00DB53D6"/>
    <w:rsid w:val="00DB6455"/>
    <w:rsid w:val="00DC55B3"/>
    <w:rsid w:val="00DE2826"/>
    <w:rsid w:val="00DF42CA"/>
    <w:rsid w:val="00E063CF"/>
    <w:rsid w:val="00E07CE9"/>
    <w:rsid w:val="00E13EE2"/>
    <w:rsid w:val="00E23476"/>
    <w:rsid w:val="00E244B3"/>
    <w:rsid w:val="00E264E9"/>
    <w:rsid w:val="00E50092"/>
    <w:rsid w:val="00E50AC0"/>
    <w:rsid w:val="00E514BD"/>
    <w:rsid w:val="00E53812"/>
    <w:rsid w:val="00E6094F"/>
    <w:rsid w:val="00E63552"/>
    <w:rsid w:val="00E66C7D"/>
    <w:rsid w:val="00E70D25"/>
    <w:rsid w:val="00E70D33"/>
    <w:rsid w:val="00E71F8D"/>
    <w:rsid w:val="00E87538"/>
    <w:rsid w:val="00EA1C38"/>
    <w:rsid w:val="00EA26A3"/>
    <w:rsid w:val="00EB1DE7"/>
    <w:rsid w:val="00EC0866"/>
    <w:rsid w:val="00ED16B0"/>
    <w:rsid w:val="00ED71E9"/>
    <w:rsid w:val="00EE129E"/>
    <w:rsid w:val="00EE1F57"/>
    <w:rsid w:val="00EE5148"/>
    <w:rsid w:val="00EE6D5A"/>
    <w:rsid w:val="00EF2457"/>
    <w:rsid w:val="00EF3B26"/>
    <w:rsid w:val="00F077AB"/>
    <w:rsid w:val="00F11F8D"/>
    <w:rsid w:val="00F15F49"/>
    <w:rsid w:val="00F17AA6"/>
    <w:rsid w:val="00F22D50"/>
    <w:rsid w:val="00F24058"/>
    <w:rsid w:val="00F26343"/>
    <w:rsid w:val="00F31DC5"/>
    <w:rsid w:val="00F35119"/>
    <w:rsid w:val="00F367A3"/>
    <w:rsid w:val="00F65731"/>
    <w:rsid w:val="00F65DD3"/>
    <w:rsid w:val="00F67D91"/>
    <w:rsid w:val="00F734BA"/>
    <w:rsid w:val="00F74694"/>
    <w:rsid w:val="00F854A3"/>
    <w:rsid w:val="00F90FFC"/>
    <w:rsid w:val="00F92CA1"/>
    <w:rsid w:val="00F978D2"/>
    <w:rsid w:val="00FA306A"/>
    <w:rsid w:val="00FB543E"/>
    <w:rsid w:val="00FC6BD4"/>
    <w:rsid w:val="00FD6629"/>
    <w:rsid w:val="00FE26FF"/>
    <w:rsid w:val="00FE3A2E"/>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D31A8"/>
  <w15:docId w15:val="{0EDE1770-D74E-4D7F-9420-CEB9648E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3CF"/>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lang w:val="da-DK" w:eastAsia="da-DK"/>
    </w:rPr>
  </w:style>
  <w:style w:type="paragraph" w:styleId="Overskrift1">
    <w:name w:val="heading 1"/>
    <w:basedOn w:val="Normal"/>
    <w:next w:val="Normal"/>
    <w:link w:val="Overskrift1Tegn"/>
    <w:qFormat/>
    <w:rsid w:val="007D35C5"/>
    <w:pPr>
      <w:keepNext/>
      <w:numPr>
        <w:numId w:val="1"/>
      </w:numPr>
      <w:tabs>
        <w:tab w:val="clear" w:pos="567"/>
      </w:tabs>
      <w:spacing w:after="160" w:line="240" w:lineRule="auto"/>
      <w:outlineLvl w:val="0"/>
    </w:pPr>
    <w:rPr>
      <w:b/>
      <w:caps/>
    </w:rPr>
  </w:style>
  <w:style w:type="paragraph" w:styleId="Overskrift2">
    <w:name w:val="heading 2"/>
    <w:basedOn w:val="Normal"/>
    <w:next w:val="Normal"/>
    <w:link w:val="Overskrift2Tegn"/>
    <w:qFormat/>
    <w:rsid w:val="007D35C5"/>
    <w:pPr>
      <w:keepNext/>
      <w:numPr>
        <w:ilvl w:val="1"/>
        <w:numId w:val="1"/>
      </w:numPr>
      <w:spacing w:line="240" w:lineRule="auto"/>
      <w:outlineLvl w:val="1"/>
    </w:pPr>
    <w:rPr>
      <w:b/>
      <w:bCs w:val="0"/>
      <w:iCs/>
      <w:szCs w:val="28"/>
    </w:rPr>
  </w:style>
  <w:style w:type="paragraph" w:styleId="Overskrift3">
    <w:name w:val="heading 3"/>
    <w:basedOn w:val="Normal"/>
    <w:next w:val="Normal"/>
    <w:link w:val="Overskrift3Tegn"/>
    <w:qFormat/>
    <w:rsid w:val="007D35C5"/>
    <w:pPr>
      <w:keepNext/>
      <w:numPr>
        <w:ilvl w:val="2"/>
        <w:numId w:val="1"/>
      </w:numPr>
      <w:spacing w:line="240" w:lineRule="auto"/>
      <w:outlineLvl w:val="2"/>
    </w:pPr>
    <w:rPr>
      <w:b/>
      <w:bCs w:val="0"/>
      <w:i/>
      <w:szCs w:val="26"/>
    </w:rPr>
  </w:style>
  <w:style w:type="paragraph" w:styleId="Overskrift4">
    <w:name w:val="heading 4"/>
    <w:basedOn w:val="Normal"/>
    <w:next w:val="Normal"/>
    <w:link w:val="Overskrift4Tegn"/>
    <w:qFormat/>
    <w:rsid w:val="007D35C5"/>
    <w:pPr>
      <w:keepNext/>
      <w:numPr>
        <w:ilvl w:val="3"/>
        <w:numId w:val="1"/>
      </w:numPr>
      <w:spacing w:line="240" w:lineRule="auto"/>
      <w:outlineLvl w:val="3"/>
    </w:pPr>
    <w:rPr>
      <w:i/>
      <w:szCs w:val="28"/>
    </w:rPr>
  </w:style>
  <w:style w:type="paragraph" w:styleId="Overskrift5">
    <w:name w:val="heading 5"/>
    <w:basedOn w:val="Overskrift1"/>
    <w:next w:val="Normal"/>
    <w:link w:val="Overskrift5Tegn"/>
    <w:qFormat/>
    <w:rsid w:val="007D35C5"/>
    <w:pPr>
      <w:numPr>
        <w:numId w:val="0"/>
      </w:numPr>
      <w:outlineLvl w:val="4"/>
    </w:pPr>
    <w:rPr>
      <w:bCs w:val="0"/>
      <w:iCs/>
      <w:szCs w:val="26"/>
    </w:rPr>
  </w:style>
  <w:style w:type="paragraph" w:styleId="Overskrift6">
    <w:name w:val="heading 6"/>
    <w:basedOn w:val="Overskrift2"/>
    <w:next w:val="Normal"/>
    <w:link w:val="Overskrift6Tegn"/>
    <w:qFormat/>
    <w:rsid w:val="007D35C5"/>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7D35C5"/>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7D35C5"/>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7D35C5"/>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7D35C5"/>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7D35C5"/>
    <w:rPr>
      <w:rFonts w:ascii="Times New Roman" w:eastAsia="Times New Roman" w:hAnsi="Times New Roman" w:cs="Times New Roman"/>
      <w:bCs/>
      <w:sz w:val="16"/>
      <w:szCs w:val="20"/>
      <w:lang w:val="da-DK" w:eastAsia="da-DK"/>
    </w:rPr>
  </w:style>
  <w:style w:type="paragraph" w:customStyle="1" w:styleId="adresseskrift">
    <w:name w:val="adresseskrift"/>
    <w:basedOn w:val="Normal"/>
    <w:rsid w:val="007D35C5"/>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Markeringsbobletekst">
    <w:name w:val="Balloon Text"/>
    <w:basedOn w:val="Normal"/>
    <w:link w:val="MarkeringsbobletekstTegn"/>
    <w:rsid w:val="007D35C5"/>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7D35C5"/>
    <w:rPr>
      <w:rFonts w:ascii="Times New Roman" w:eastAsia="Times New Roman" w:hAnsi="Times New Roman" w:cs="Tahoma"/>
      <w:bCs/>
      <w:sz w:val="16"/>
      <w:szCs w:val="16"/>
      <w:lang w:val="da-DK" w:eastAsia="da-DK"/>
    </w:rPr>
  </w:style>
  <w:style w:type="paragraph" w:customStyle="1" w:styleId="Brevoverskrift">
    <w:name w:val="Brevoverskrift"/>
    <w:basedOn w:val="Normal"/>
    <w:rsid w:val="007D35C5"/>
    <w:rPr>
      <w:b/>
      <w:bCs w:val="0"/>
    </w:rPr>
  </w:style>
  <w:style w:type="character" w:styleId="Kommentarhenvisning">
    <w:name w:val="annotation reference"/>
    <w:basedOn w:val="Standardskrifttypeiafsnit"/>
    <w:rsid w:val="007D35C5"/>
    <w:rPr>
      <w:sz w:val="16"/>
      <w:szCs w:val="16"/>
    </w:rPr>
  </w:style>
  <w:style w:type="paragraph" w:styleId="Kommentartekst">
    <w:name w:val="annotation text"/>
    <w:basedOn w:val="Normal"/>
    <w:link w:val="KommentartekstTegn"/>
    <w:uiPriority w:val="99"/>
    <w:rsid w:val="007D35C5"/>
  </w:style>
  <w:style w:type="character" w:customStyle="1" w:styleId="KommentartekstTegn">
    <w:name w:val="Kommentartekst Tegn"/>
    <w:basedOn w:val="Standardskrifttypeiafsnit"/>
    <w:link w:val="Kommentartekst"/>
    <w:uiPriority w:val="99"/>
    <w:rsid w:val="007D35C5"/>
    <w:rPr>
      <w:rFonts w:ascii="Times New Roman" w:eastAsia="Times New Roman" w:hAnsi="Times New Roman" w:cs="Times New Roman"/>
      <w:bCs/>
      <w:sz w:val="23"/>
      <w:szCs w:val="20"/>
      <w:lang w:val="da-DK" w:eastAsia="da-DK"/>
    </w:rPr>
  </w:style>
  <w:style w:type="paragraph" w:customStyle="1" w:styleId="DatoFelt">
    <w:name w:val="DatoFelt"/>
    <w:basedOn w:val="Normal"/>
    <w:next w:val="Normal"/>
    <w:qFormat/>
    <w:rsid w:val="007D35C5"/>
    <w:pPr>
      <w:spacing w:after="200" w:line="220" w:lineRule="exact"/>
    </w:pPr>
    <w:rPr>
      <w:b/>
      <w:caps/>
      <w:sz w:val="16"/>
      <w:szCs w:val="16"/>
    </w:rPr>
  </w:style>
  <w:style w:type="paragraph" w:customStyle="1" w:styleId="Default">
    <w:name w:val="Default"/>
    <w:rsid w:val="007D35C5"/>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rsid w:val="007D35C5"/>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7D35C5"/>
    <w:pPr>
      <w:spacing w:line="240" w:lineRule="auto"/>
    </w:pPr>
    <w:rPr>
      <w:sz w:val="16"/>
      <w:szCs w:val="16"/>
    </w:rPr>
  </w:style>
  <w:style w:type="character" w:styleId="Slutnotehenvisning">
    <w:name w:val="endnote reference"/>
    <w:basedOn w:val="Standardskrifttypeiafsnit"/>
    <w:semiHidden/>
    <w:rsid w:val="007D35C5"/>
    <w:rPr>
      <w:sz w:val="17"/>
      <w:vertAlign w:val="superscript"/>
    </w:rPr>
  </w:style>
  <w:style w:type="paragraph" w:styleId="Slutnotetekst">
    <w:name w:val="endnote text"/>
    <w:basedOn w:val="Normal"/>
    <w:link w:val="SlutnotetekstTegn"/>
    <w:semiHidden/>
    <w:rsid w:val="007D35C5"/>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7D35C5"/>
    <w:rPr>
      <w:rFonts w:ascii="Times New Roman" w:eastAsia="Times New Roman" w:hAnsi="Times New Roman" w:cs="Times New Roman"/>
      <w:bCs/>
      <w:sz w:val="17"/>
      <w:szCs w:val="20"/>
      <w:lang w:val="da-DK" w:eastAsia="da-DK"/>
    </w:rPr>
  </w:style>
  <w:style w:type="paragraph" w:customStyle="1" w:styleId="Flytning">
    <w:name w:val="Flytning"/>
    <w:basedOn w:val="Normal"/>
    <w:rsid w:val="007D35C5"/>
    <w:pPr>
      <w:spacing w:line="240" w:lineRule="auto"/>
      <w:jc w:val="right"/>
    </w:pPr>
    <w:rPr>
      <w:b/>
    </w:rPr>
  </w:style>
  <w:style w:type="paragraph" w:customStyle="1" w:styleId="Flytning2">
    <w:name w:val="Flytning2"/>
    <w:basedOn w:val="Flytning"/>
    <w:rsid w:val="007D35C5"/>
    <w:pPr>
      <w:spacing w:before="120"/>
    </w:pPr>
    <w:rPr>
      <w:b w:val="0"/>
    </w:rPr>
  </w:style>
  <w:style w:type="paragraph" w:styleId="Sidefod">
    <w:name w:val="footer"/>
    <w:basedOn w:val="Normal"/>
    <w:link w:val="SidefodTegn"/>
    <w:uiPriority w:val="99"/>
    <w:rsid w:val="007D35C5"/>
    <w:pPr>
      <w:jc w:val="center"/>
    </w:pPr>
    <w:rPr>
      <w:sz w:val="14"/>
    </w:rPr>
  </w:style>
  <w:style w:type="character" w:customStyle="1" w:styleId="SidefodTegn">
    <w:name w:val="Sidefod Tegn"/>
    <w:basedOn w:val="Standardskrifttypeiafsnit"/>
    <w:link w:val="Sidefod"/>
    <w:uiPriority w:val="99"/>
    <w:rsid w:val="007D35C5"/>
    <w:rPr>
      <w:rFonts w:ascii="Times New Roman" w:eastAsia="Times New Roman" w:hAnsi="Times New Roman" w:cs="Times New Roman"/>
      <w:bCs/>
      <w:sz w:val="14"/>
      <w:szCs w:val="20"/>
      <w:lang w:val="da-DK" w:eastAsia="da-DK"/>
    </w:rPr>
  </w:style>
  <w:style w:type="character" w:styleId="Fodnotehenvisning">
    <w:name w:val="footnote reference"/>
    <w:basedOn w:val="Standardskrifttypeiafsnit"/>
    <w:semiHidden/>
    <w:rsid w:val="007D35C5"/>
    <w:rPr>
      <w:sz w:val="17"/>
      <w:vertAlign w:val="superscript"/>
    </w:rPr>
  </w:style>
  <w:style w:type="paragraph" w:styleId="Fodnotetekst">
    <w:name w:val="footnote text"/>
    <w:basedOn w:val="Normal"/>
    <w:link w:val="FodnotetekstTegn"/>
    <w:semiHidden/>
    <w:rsid w:val="000C1044"/>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7D35C5"/>
    <w:rPr>
      <w:rFonts w:ascii="Times New Roman" w:eastAsia="Times New Roman" w:hAnsi="Times New Roman" w:cs="Times New Roman"/>
      <w:sz w:val="17"/>
      <w:szCs w:val="23"/>
      <w:lang w:val="da-DK" w:eastAsia="da-DK"/>
    </w:rPr>
  </w:style>
  <w:style w:type="paragraph" w:styleId="Sidehoved">
    <w:name w:val="header"/>
    <w:basedOn w:val="Normal"/>
    <w:link w:val="SidehovedTegn"/>
    <w:uiPriority w:val="99"/>
    <w:rsid w:val="007D35C5"/>
  </w:style>
  <w:style w:type="character" w:customStyle="1" w:styleId="SidehovedTegn">
    <w:name w:val="Sidehoved Tegn"/>
    <w:basedOn w:val="Standardskrifttypeiafsnit"/>
    <w:link w:val="Sidehoved"/>
    <w:uiPriority w:val="99"/>
    <w:rsid w:val="007D35C5"/>
    <w:rPr>
      <w:rFonts w:ascii="Times New Roman" w:eastAsia="Times New Roman" w:hAnsi="Times New Roman" w:cs="Times New Roman"/>
      <w:bCs/>
      <w:sz w:val="23"/>
      <w:szCs w:val="20"/>
      <w:lang w:val="da-DK" w:eastAsia="da-DK"/>
    </w:rPr>
  </w:style>
  <w:style w:type="character" w:customStyle="1" w:styleId="Overskrift1Tegn">
    <w:name w:val="Overskrift 1 Tegn"/>
    <w:basedOn w:val="Standardskrifttypeiafsnit"/>
    <w:link w:val="Overskrift1"/>
    <w:rsid w:val="007D35C5"/>
    <w:rPr>
      <w:rFonts w:ascii="Times New Roman" w:eastAsia="Times New Roman" w:hAnsi="Times New Roman" w:cs="Times New Roman"/>
      <w:b/>
      <w:bCs/>
      <w:caps/>
      <w:sz w:val="23"/>
      <w:szCs w:val="20"/>
      <w:lang w:val="da-DK" w:eastAsia="da-DK"/>
    </w:rPr>
  </w:style>
  <w:style w:type="character" w:customStyle="1" w:styleId="Overskrift2Tegn">
    <w:name w:val="Overskrift 2 Tegn"/>
    <w:basedOn w:val="Standardskrifttypeiafsnit"/>
    <w:link w:val="Overskrift2"/>
    <w:rsid w:val="007D35C5"/>
    <w:rPr>
      <w:rFonts w:ascii="Times New Roman" w:eastAsia="Times New Roman" w:hAnsi="Times New Roman" w:cs="Times New Roman"/>
      <w:b/>
      <w:iCs/>
      <w:sz w:val="23"/>
      <w:szCs w:val="28"/>
      <w:lang w:val="da-DK" w:eastAsia="da-DK"/>
    </w:rPr>
  </w:style>
  <w:style w:type="character" w:customStyle="1" w:styleId="Overskrift3Tegn">
    <w:name w:val="Overskrift 3 Tegn"/>
    <w:basedOn w:val="Standardskrifttypeiafsnit"/>
    <w:link w:val="Overskrift3"/>
    <w:rsid w:val="007D35C5"/>
    <w:rPr>
      <w:rFonts w:ascii="Times New Roman" w:eastAsia="Times New Roman" w:hAnsi="Times New Roman" w:cs="Times New Roman"/>
      <w:b/>
      <w:i/>
      <w:sz w:val="23"/>
      <w:szCs w:val="26"/>
      <w:lang w:val="da-DK" w:eastAsia="da-DK"/>
    </w:rPr>
  </w:style>
  <w:style w:type="character" w:customStyle="1" w:styleId="Overskrift4Tegn">
    <w:name w:val="Overskrift 4 Tegn"/>
    <w:basedOn w:val="Standardskrifttypeiafsnit"/>
    <w:link w:val="Overskrift4"/>
    <w:rsid w:val="007D35C5"/>
    <w:rPr>
      <w:rFonts w:ascii="Times New Roman" w:eastAsia="Times New Roman" w:hAnsi="Times New Roman" w:cs="Times New Roman"/>
      <w:bCs/>
      <w:i/>
      <w:sz w:val="23"/>
      <w:szCs w:val="28"/>
      <w:lang w:val="da-DK" w:eastAsia="da-DK"/>
    </w:rPr>
  </w:style>
  <w:style w:type="character" w:customStyle="1" w:styleId="Overskrift5Tegn">
    <w:name w:val="Overskrift 5 Tegn"/>
    <w:basedOn w:val="Standardskrifttypeiafsnit"/>
    <w:link w:val="Overskrift5"/>
    <w:rsid w:val="007D35C5"/>
    <w:rPr>
      <w:rFonts w:ascii="Times New Roman" w:eastAsia="Times New Roman" w:hAnsi="Times New Roman" w:cs="Times New Roman"/>
      <w:b/>
      <w:iCs/>
      <w:caps/>
      <w:sz w:val="23"/>
      <w:szCs w:val="26"/>
      <w:lang w:val="da-DK" w:eastAsia="da-DK"/>
    </w:rPr>
  </w:style>
  <w:style w:type="character" w:customStyle="1" w:styleId="Overskrift6Tegn">
    <w:name w:val="Overskrift 6 Tegn"/>
    <w:basedOn w:val="Standardskrifttypeiafsnit"/>
    <w:link w:val="Overskrift6"/>
    <w:rsid w:val="007D35C5"/>
    <w:rPr>
      <w:rFonts w:ascii="Times New Roman" w:eastAsia="Times New Roman" w:hAnsi="Times New Roman" w:cs="Times New Roman"/>
      <w:b/>
      <w:bCs/>
      <w:iCs/>
      <w:sz w:val="23"/>
      <w:lang w:val="da-DK" w:eastAsia="da-DK"/>
    </w:rPr>
  </w:style>
  <w:style w:type="character" w:customStyle="1" w:styleId="Overskrift7Tegn">
    <w:name w:val="Overskrift 7 Tegn"/>
    <w:basedOn w:val="Standardskrifttypeiafsnit"/>
    <w:link w:val="Overskrift7"/>
    <w:rsid w:val="007D35C5"/>
    <w:rPr>
      <w:rFonts w:ascii="Times New Roman" w:eastAsia="Times New Roman" w:hAnsi="Times New Roman" w:cs="Times New Roman"/>
      <w:b/>
      <w:i/>
      <w:sz w:val="23"/>
      <w:szCs w:val="24"/>
      <w:lang w:val="da-DK" w:eastAsia="da-DK"/>
    </w:rPr>
  </w:style>
  <w:style w:type="character" w:customStyle="1" w:styleId="Overskrift8Tegn">
    <w:name w:val="Overskrift 8 Tegn"/>
    <w:basedOn w:val="Standardskrifttypeiafsnit"/>
    <w:link w:val="Overskrift8"/>
    <w:rsid w:val="007D35C5"/>
    <w:rPr>
      <w:rFonts w:ascii="Times New Roman" w:eastAsia="Times New Roman" w:hAnsi="Times New Roman" w:cs="Times New Roman"/>
      <w:bCs/>
      <w:i/>
      <w:iCs/>
      <w:sz w:val="23"/>
      <w:szCs w:val="24"/>
      <w:lang w:val="da-DK" w:eastAsia="da-DK"/>
    </w:rPr>
  </w:style>
  <w:style w:type="character" w:customStyle="1" w:styleId="Overskrift9Tegn">
    <w:name w:val="Overskrift 9 Tegn"/>
    <w:basedOn w:val="Standardskrifttypeiafsnit"/>
    <w:link w:val="Overskrift9"/>
    <w:rsid w:val="007D35C5"/>
    <w:rPr>
      <w:rFonts w:ascii="Times New Roman" w:eastAsia="Times New Roman" w:hAnsi="Times New Roman" w:cs="Arial"/>
      <w:b/>
      <w:bCs/>
      <w:sz w:val="30"/>
      <w:szCs w:val="28"/>
      <w:lang w:val="da-DK" w:eastAsia="da-DK"/>
    </w:rPr>
  </w:style>
  <w:style w:type="paragraph" w:styleId="Listeafsnit">
    <w:name w:val="List Paragraph"/>
    <w:basedOn w:val="Normal"/>
    <w:link w:val="ListeafsnitTegn"/>
    <w:uiPriority w:val="34"/>
    <w:qFormat/>
    <w:rsid w:val="007D35C5"/>
    <w:pPr>
      <w:ind w:left="720"/>
      <w:contextualSpacing/>
    </w:pPr>
  </w:style>
  <w:style w:type="paragraph" w:customStyle="1" w:styleId="Indlg">
    <w:name w:val="Indlæg"/>
    <w:basedOn w:val="Normal"/>
    <w:autoRedefine/>
    <w:qFormat/>
    <w:rsid w:val="00142474"/>
    <w:pPr>
      <w:numPr>
        <w:numId w:val="13"/>
      </w:numPr>
      <w:overflowPunct/>
      <w:autoSpaceDE/>
      <w:autoSpaceDN/>
      <w:adjustRightInd/>
      <w:spacing w:after="300"/>
      <w:textAlignment w:val="auto"/>
      <w:outlineLvl w:val="0"/>
    </w:pPr>
    <w:rPr>
      <w:bCs w:val="0"/>
      <w:szCs w:val="23"/>
    </w:rPr>
  </w:style>
  <w:style w:type="character" w:styleId="Linjenummer">
    <w:name w:val="line number"/>
    <w:basedOn w:val="Standardskrifttypeiafsnit"/>
    <w:rsid w:val="007D35C5"/>
  </w:style>
  <w:style w:type="paragraph" w:styleId="Liste">
    <w:name w:val="List"/>
    <w:basedOn w:val="Normal"/>
    <w:rsid w:val="007D35C5"/>
    <w:pPr>
      <w:ind w:left="283" w:hanging="283"/>
    </w:pPr>
  </w:style>
  <w:style w:type="paragraph" w:styleId="Liste2">
    <w:name w:val="List 2"/>
    <w:basedOn w:val="Normal"/>
    <w:rsid w:val="007D35C5"/>
    <w:pPr>
      <w:ind w:left="566" w:hanging="283"/>
    </w:pPr>
  </w:style>
  <w:style w:type="paragraph" w:styleId="Liste3">
    <w:name w:val="List 3"/>
    <w:basedOn w:val="Normal"/>
    <w:rsid w:val="007D35C5"/>
    <w:pPr>
      <w:ind w:left="849" w:hanging="283"/>
    </w:pPr>
  </w:style>
  <w:style w:type="paragraph" w:styleId="Liste4">
    <w:name w:val="List 4"/>
    <w:basedOn w:val="Normal"/>
    <w:rsid w:val="007D35C5"/>
    <w:pPr>
      <w:ind w:left="1132" w:hanging="283"/>
    </w:pPr>
  </w:style>
  <w:style w:type="paragraph" w:styleId="Liste5">
    <w:name w:val="List 5"/>
    <w:basedOn w:val="Normal"/>
    <w:rsid w:val="007D35C5"/>
    <w:pPr>
      <w:ind w:left="1415" w:hanging="283"/>
    </w:pPr>
  </w:style>
  <w:style w:type="paragraph" w:styleId="Opstilling-punkttegn">
    <w:name w:val="List Bullet"/>
    <w:basedOn w:val="Normal"/>
    <w:autoRedefine/>
    <w:rsid w:val="007D35C5"/>
    <w:pPr>
      <w:numPr>
        <w:numId w:val="2"/>
      </w:numPr>
    </w:pPr>
  </w:style>
  <w:style w:type="paragraph" w:styleId="Opstilling-punkttegn2">
    <w:name w:val="List Bullet 2"/>
    <w:basedOn w:val="Normal"/>
    <w:autoRedefine/>
    <w:rsid w:val="007D35C5"/>
    <w:pPr>
      <w:numPr>
        <w:numId w:val="3"/>
      </w:numPr>
    </w:pPr>
  </w:style>
  <w:style w:type="paragraph" w:styleId="Opstilling-punkttegn3">
    <w:name w:val="List Bullet 3"/>
    <w:basedOn w:val="Normal"/>
    <w:autoRedefine/>
    <w:rsid w:val="007D35C5"/>
    <w:pPr>
      <w:numPr>
        <w:numId w:val="4"/>
      </w:numPr>
    </w:pPr>
  </w:style>
  <w:style w:type="paragraph" w:styleId="Opstilling-punkttegn4">
    <w:name w:val="List Bullet 4"/>
    <w:basedOn w:val="Normal"/>
    <w:autoRedefine/>
    <w:rsid w:val="007D35C5"/>
    <w:pPr>
      <w:numPr>
        <w:numId w:val="5"/>
      </w:numPr>
    </w:pPr>
  </w:style>
  <w:style w:type="paragraph" w:styleId="Opstilling-punkttegn5">
    <w:name w:val="List Bullet 5"/>
    <w:basedOn w:val="Normal"/>
    <w:autoRedefine/>
    <w:rsid w:val="007D35C5"/>
    <w:pPr>
      <w:numPr>
        <w:numId w:val="6"/>
      </w:numPr>
    </w:pPr>
  </w:style>
  <w:style w:type="paragraph" w:styleId="Opstilling-forts">
    <w:name w:val="List Continue"/>
    <w:basedOn w:val="Normal"/>
    <w:rsid w:val="007D35C5"/>
    <w:pPr>
      <w:spacing w:after="120"/>
      <w:ind w:left="283"/>
    </w:pPr>
  </w:style>
  <w:style w:type="paragraph" w:styleId="Opstilling-forts2">
    <w:name w:val="List Continue 2"/>
    <w:basedOn w:val="Normal"/>
    <w:rsid w:val="007D35C5"/>
    <w:pPr>
      <w:spacing w:after="120"/>
      <w:ind w:left="566"/>
    </w:pPr>
  </w:style>
  <w:style w:type="paragraph" w:styleId="Opstilling-forts3">
    <w:name w:val="List Continue 3"/>
    <w:basedOn w:val="Normal"/>
    <w:rsid w:val="007D35C5"/>
    <w:pPr>
      <w:spacing w:after="120"/>
      <w:ind w:left="849"/>
    </w:pPr>
  </w:style>
  <w:style w:type="paragraph" w:styleId="Opstilling-forts4">
    <w:name w:val="List Continue 4"/>
    <w:basedOn w:val="Normal"/>
    <w:rsid w:val="007D35C5"/>
    <w:pPr>
      <w:spacing w:after="120"/>
      <w:ind w:left="1132"/>
    </w:pPr>
  </w:style>
  <w:style w:type="paragraph" w:styleId="Opstilling-forts5">
    <w:name w:val="List Continue 5"/>
    <w:basedOn w:val="Normal"/>
    <w:rsid w:val="007D35C5"/>
    <w:pPr>
      <w:spacing w:after="120"/>
      <w:ind w:left="1415"/>
    </w:pPr>
  </w:style>
  <w:style w:type="paragraph" w:styleId="Opstilling-talellerbogst">
    <w:name w:val="List Number"/>
    <w:basedOn w:val="Normal"/>
    <w:rsid w:val="007D35C5"/>
    <w:pPr>
      <w:numPr>
        <w:numId w:val="7"/>
      </w:numPr>
    </w:pPr>
  </w:style>
  <w:style w:type="paragraph" w:styleId="Opstilling-talellerbogst2">
    <w:name w:val="List Number 2"/>
    <w:basedOn w:val="Normal"/>
    <w:rsid w:val="007D35C5"/>
    <w:pPr>
      <w:numPr>
        <w:numId w:val="8"/>
      </w:numPr>
    </w:pPr>
  </w:style>
  <w:style w:type="paragraph" w:styleId="Opstilling-talellerbogst3">
    <w:name w:val="List Number 3"/>
    <w:basedOn w:val="Normal"/>
    <w:rsid w:val="007D35C5"/>
    <w:pPr>
      <w:numPr>
        <w:numId w:val="9"/>
      </w:numPr>
    </w:pPr>
  </w:style>
  <w:style w:type="paragraph" w:styleId="Opstilling-talellerbogst4">
    <w:name w:val="List Number 4"/>
    <w:basedOn w:val="Normal"/>
    <w:rsid w:val="007D35C5"/>
    <w:pPr>
      <w:numPr>
        <w:numId w:val="10"/>
      </w:numPr>
    </w:pPr>
  </w:style>
  <w:style w:type="paragraph" w:styleId="Opstilling-talellerbogst5">
    <w:name w:val="List Number 5"/>
    <w:basedOn w:val="Normal"/>
    <w:rsid w:val="007D35C5"/>
    <w:pPr>
      <w:numPr>
        <w:numId w:val="11"/>
      </w:numPr>
    </w:pPr>
  </w:style>
  <w:style w:type="paragraph" w:customStyle="1" w:styleId="Logo">
    <w:name w:val="Logo"/>
    <w:basedOn w:val="Normal"/>
    <w:next w:val="Normal"/>
    <w:rsid w:val="007D35C5"/>
    <w:pPr>
      <w:framePr w:w="329" w:h="505" w:hSpace="142" w:vSpace="142" w:wrap="notBeside" w:vAnchor="page" w:hAnchor="margin" w:y="1129"/>
      <w:jc w:val="right"/>
    </w:pPr>
  </w:style>
  <w:style w:type="paragraph" w:styleId="Brevhoved">
    <w:name w:val="Message Header"/>
    <w:basedOn w:val="Normal"/>
    <w:link w:val="BrevhovedTegn"/>
    <w:rsid w:val="007D35C5"/>
    <w:pPr>
      <w:tabs>
        <w:tab w:val="left" w:pos="737"/>
      </w:tabs>
    </w:pPr>
    <w:rPr>
      <w:rFonts w:cs="Arial"/>
      <w:sz w:val="19"/>
      <w:szCs w:val="24"/>
    </w:rPr>
  </w:style>
  <w:style w:type="character" w:customStyle="1" w:styleId="BrevhovedTegn">
    <w:name w:val="Brevhoved Tegn"/>
    <w:basedOn w:val="Standardskrifttypeiafsnit"/>
    <w:link w:val="Brevhoved"/>
    <w:rsid w:val="007D35C5"/>
    <w:rPr>
      <w:rFonts w:ascii="Times New Roman" w:eastAsia="Times New Roman" w:hAnsi="Times New Roman" w:cs="Arial"/>
      <w:bCs/>
      <w:sz w:val="19"/>
      <w:szCs w:val="24"/>
      <w:lang w:val="da-DK" w:eastAsia="da-DK"/>
    </w:rPr>
  </w:style>
  <w:style w:type="paragraph" w:customStyle="1" w:styleId="Modtager">
    <w:name w:val="Modtager"/>
    <w:basedOn w:val="Normal"/>
    <w:rsid w:val="007D35C5"/>
    <w:pPr>
      <w:spacing w:line="240" w:lineRule="auto"/>
    </w:pPr>
  </w:style>
  <w:style w:type="paragraph" w:styleId="NormalWeb">
    <w:name w:val="Normal (Web)"/>
    <w:basedOn w:val="Normal"/>
    <w:rsid w:val="007D35C5"/>
    <w:rPr>
      <w:szCs w:val="24"/>
    </w:rPr>
  </w:style>
  <w:style w:type="paragraph" w:styleId="Normalindrykning">
    <w:name w:val="Normal Indent"/>
    <w:basedOn w:val="Normal"/>
    <w:rsid w:val="007D35C5"/>
    <w:pPr>
      <w:ind w:left="1304"/>
    </w:pPr>
  </w:style>
  <w:style w:type="paragraph" w:customStyle="1" w:styleId="notaoplysninger">
    <w:name w:val="notaoplysninger"/>
    <w:basedOn w:val="Normal"/>
    <w:rsid w:val="007D35C5"/>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7D35C5"/>
    <w:pPr>
      <w:spacing w:before="200" w:after="300" w:line="312" w:lineRule="auto"/>
    </w:pPr>
    <w:rPr>
      <w:b/>
      <w:bCs w:val="0"/>
    </w:rPr>
  </w:style>
  <w:style w:type="paragraph" w:styleId="Noteoverskrift">
    <w:name w:val="Note Heading"/>
    <w:basedOn w:val="Normal"/>
    <w:next w:val="Normal"/>
    <w:link w:val="NoteoverskriftTegn"/>
    <w:rsid w:val="007D35C5"/>
  </w:style>
  <w:style w:type="character" w:customStyle="1" w:styleId="NoteoverskriftTegn">
    <w:name w:val="Noteoverskrift Tegn"/>
    <w:basedOn w:val="Standardskrifttypeiafsnit"/>
    <w:link w:val="Noteoverskrift"/>
    <w:rsid w:val="007D35C5"/>
    <w:rPr>
      <w:rFonts w:ascii="Times New Roman" w:eastAsia="Times New Roman" w:hAnsi="Times New Roman" w:cs="Times New Roman"/>
      <w:bCs/>
      <w:sz w:val="23"/>
      <w:szCs w:val="20"/>
      <w:lang w:val="da-DK" w:eastAsia="da-DK"/>
    </w:rPr>
  </w:style>
  <w:style w:type="character" w:styleId="Sidetal">
    <w:name w:val="page number"/>
    <w:rsid w:val="007D35C5"/>
    <w:rPr>
      <w:sz w:val="16"/>
      <w:szCs w:val="16"/>
    </w:rPr>
  </w:style>
  <w:style w:type="paragraph" w:customStyle="1" w:styleId="SagsnrFelt">
    <w:name w:val="SagsnrFelt"/>
    <w:basedOn w:val="DatoFelt"/>
    <w:next w:val="DirekteOplysninger"/>
    <w:qFormat/>
    <w:rsid w:val="007D35C5"/>
    <w:rPr>
      <w:b w:val="0"/>
      <w:caps w:val="0"/>
    </w:rPr>
  </w:style>
  <w:style w:type="paragraph" w:styleId="Underskrift">
    <w:name w:val="Signature"/>
    <w:basedOn w:val="Normal"/>
    <w:link w:val="UnderskriftTegn"/>
    <w:rsid w:val="007D35C5"/>
    <w:pPr>
      <w:ind w:left="4252"/>
    </w:pPr>
  </w:style>
  <w:style w:type="character" w:customStyle="1" w:styleId="UnderskriftTegn">
    <w:name w:val="Underskrift Tegn"/>
    <w:basedOn w:val="Standardskrifttypeiafsnit"/>
    <w:link w:val="Underskrift"/>
    <w:rsid w:val="007D35C5"/>
    <w:rPr>
      <w:rFonts w:ascii="Times New Roman" w:eastAsia="Times New Roman" w:hAnsi="Times New Roman" w:cs="Times New Roman"/>
      <w:bCs/>
      <w:sz w:val="23"/>
      <w:szCs w:val="20"/>
      <w:lang w:val="da-DK" w:eastAsia="da-DK"/>
    </w:rPr>
  </w:style>
  <w:style w:type="character" w:customStyle="1" w:styleId="Stilling">
    <w:name w:val="Stilling"/>
    <w:uiPriority w:val="99"/>
    <w:rsid w:val="007D35C5"/>
    <w:rPr>
      <w:i/>
      <w:color w:val="auto"/>
      <w:szCs w:val="23"/>
    </w:rPr>
  </w:style>
  <w:style w:type="table" w:styleId="Tabel-Gitter">
    <w:name w:val="Table Grid"/>
    <w:basedOn w:val="Tabel-Normal"/>
    <w:rsid w:val="007D35C5"/>
    <w:pPr>
      <w:spacing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7D35C5"/>
    <w:pPr>
      <w:keepNext/>
      <w:spacing w:after="240" w:line="240" w:lineRule="auto"/>
      <w:jc w:val="left"/>
    </w:pPr>
    <w:rPr>
      <w:rFonts w:cs="Arial"/>
      <w:sz w:val="44"/>
      <w:szCs w:val="32"/>
    </w:rPr>
  </w:style>
  <w:style w:type="character" w:customStyle="1" w:styleId="TitelTegn">
    <w:name w:val="Titel Tegn"/>
    <w:basedOn w:val="Standardskrifttypeiafsnit"/>
    <w:link w:val="Titel"/>
    <w:rsid w:val="007D35C5"/>
    <w:rPr>
      <w:rFonts w:ascii="Times New Roman" w:eastAsia="Times New Roman" w:hAnsi="Times New Roman" w:cs="Arial"/>
      <w:bCs/>
      <w:sz w:val="44"/>
      <w:szCs w:val="32"/>
      <w:lang w:val="da-DK" w:eastAsia="da-DK"/>
    </w:rPr>
  </w:style>
  <w:style w:type="paragraph" w:styleId="Indholdsfortegnelse1">
    <w:name w:val="toc 1"/>
    <w:basedOn w:val="Normal"/>
    <w:next w:val="Normal"/>
    <w:uiPriority w:val="39"/>
    <w:rsid w:val="00D47027"/>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D47027"/>
    <w:pPr>
      <w:tabs>
        <w:tab w:val="left" w:pos="567"/>
        <w:tab w:val="right" w:leader="dot" w:pos="8505"/>
      </w:tabs>
      <w:spacing w:line="348" w:lineRule="auto"/>
      <w:ind w:left="567" w:hanging="567"/>
      <w:jc w:val="left"/>
    </w:pPr>
    <w:rPr>
      <w:noProof/>
      <w:sz w:val="19"/>
    </w:rPr>
  </w:style>
  <w:style w:type="paragraph" w:styleId="Indholdsfortegnelse3">
    <w:name w:val="toc 3"/>
    <w:basedOn w:val="Normal"/>
    <w:next w:val="Normal"/>
    <w:semiHidden/>
    <w:rsid w:val="00D47027"/>
    <w:pPr>
      <w:tabs>
        <w:tab w:val="left" w:pos="567"/>
        <w:tab w:val="right" w:leader="dot" w:pos="8505"/>
      </w:tabs>
      <w:spacing w:line="348" w:lineRule="auto"/>
      <w:ind w:left="567" w:hanging="567"/>
      <w:jc w:val="left"/>
    </w:pPr>
    <w:rPr>
      <w:noProof/>
      <w:sz w:val="19"/>
    </w:rPr>
  </w:style>
  <w:style w:type="paragraph" w:styleId="Indholdsfortegnelse4">
    <w:name w:val="toc 4"/>
    <w:basedOn w:val="Normal"/>
    <w:next w:val="Normal"/>
    <w:semiHidden/>
    <w:rsid w:val="007D35C5"/>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7D35C5"/>
    <w:pPr>
      <w:ind w:left="720"/>
    </w:pPr>
  </w:style>
  <w:style w:type="paragraph" w:styleId="Indholdsfortegnelse6">
    <w:name w:val="toc 6"/>
    <w:basedOn w:val="Normal"/>
    <w:next w:val="Normal"/>
    <w:autoRedefine/>
    <w:semiHidden/>
    <w:rsid w:val="007D35C5"/>
    <w:pPr>
      <w:ind w:left="900"/>
    </w:pPr>
  </w:style>
  <w:style w:type="paragraph" w:styleId="Indholdsfortegnelse7">
    <w:name w:val="toc 7"/>
    <w:basedOn w:val="Normal"/>
    <w:next w:val="Normal"/>
    <w:autoRedefine/>
    <w:semiHidden/>
    <w:rsid w:val="007D35C5"/>
    <w:pPr>
      <w:ind w:left="1080"/>
    </w:pPr>
  </w:style>
  <w:style w:type="paragraph" w:styleId="Indholdsfortegnelse8">
    <w:name w:val="toc 8"/>
    <w:basedOn w:val="Normal"/>
    <w:next w:val="Normal"/>
    <w:autoRedefine/>
    <w:semiHidden/>
    <w:rsid w:val="007D35C5"/>
    <w:pPr>
      <w:ind w:left="1260"/>
    </w:pPr>
  </w:style>
  <w:style w:type="paragraph" w:styleId="Indholdsfortegnelse9">
    <w:name w:val="toc 9"/>
    <w:basedOn w:val="Normal"/>
    <w:next w:val="Normal"/>
    <w:autoRedefine/>
    <w:semiHidden/>
    <w:rsid w:val="007D35C5"/>
    <w:pPr>
      <w:ind w:left="1440"/>
    </w:pPr>
  </w:style>
  <w:style w:type="character" w:styleId="Pladsholdertekst">
    <w:name w:val="Placeholder Text"/>
    <w:basedOn w:val="Standardskrifttypeiafsnit"/>
    <w:uiPriority w:val="99"/>
    <w:semiHidden/>
    <w:rsid w:val="002E474B"/>
    <w:rPr>
      <w:color w:val="FFFFFF"/>
    </w:rPr>
  </w:style>
  <w:style w:type="table" w:customStyle="1" w:styleId="Tabel-Gitter1">
    <w:name w:val="Tabel - Gitter1"/>
    <w:basedOn w:val="Tabel-Normal"/>
    <w:next w:val="Tabel-Gitter"/>
    <w:rsid w:val="006528B4"/>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qFormat/>
    <w:rsid w:val="00397057"/>
    <w:pPr>
      <w:numPr>
        <w:numId w:val="12"/>
      </w:numPr>
      <w:tabs>
        <w:tab w:val="left" w:pos="851"/>
      </w:tabs>
      <w:spacing w:before="120"/>
      <w:ind w:left="851" w:hanging="284"/>
    </w:pPr>
  </w:style>
  <w:style w:type="paragraph" w:customStyle="1" w:styleId="Indlgafsnit">
    <w:name w:val="Indlæg afsnit"/>
    <w:basedOn w:val="Indlg"/>
    <w:qFormat/>
    <w:rsid w:val="00142474"/>
    <w:pPr>
      <w:numPr>
        <w:ilvl w:val="1"/>
      </w:numPr>
    </w:pPr>
  </w:style>
  <w:style w:type="paragraph" w:customStyle="1" w:styleId="Punktafsnit1">
    <w:name w:val="Punktafsnit 1"/>
    <w:basedOn w:val="Normal"/>
    <w:next w:val="Normal"/>
    <w:qFormat/>
    <w:rsid w:val="00142474"/>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142474"/>
    <w:pPr>
      <w:keepNext w:val="0"/>
      <w:numPr>
        <w:numId w:val="14"/>
      </w:numPr>
      <w:spacing w:after="300" w:line="300" w:lineRule="exact"/>
    </w:pPr>
    <w:rPr>
      <w:b w:val="0"/>
    </w:rPr>
  </w:style>
  <w:style w:type="paragraph" w:customStyle="1" w:styleId="Punktafsnit3">
    <w:name w:val="Punktafsnit 3"/>
    <w:basedOn w:val="Punktafsnit2"/>
    <w:qFormat/>
    <w:rsid w:val="00142474"/>
    <w:pPr>
      <w:numPr>
        <w:ilvl w:val="2"/>
      </w:numPr>
    </w:pPr>
  </w:style>
  <w:style w:type="paragraph" w:customStyle="1" w:styleId="Punktafsnit4">
    <w:name w:val="Punktafsnit 4"/>
    <w:basedOn w:val="Overskrift4"/>
    <w:qFormat/>
    <w:rsid w:val="00142474"/>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Listeafsnit"/>
    <w:qFormat/>
    <w:rsid w:val="008F4F26"/>
    <w:pPr>
      <w:keepNext/>
      <w:numPr>
        <w:numId w:val="15"/>
      </w:numPr>
      <w:ind w:left="709" w:hanging="709"/>
    </w:pPr>
    <w:rPr>
      <w:i/>
    </w:rPr>
  </w:style>
  <w:style w:type="paragraph" w:customStyle="1" w:styleId="Punktafsniti">
    <w:name w:val="Punktafsnit i)"/>
    <w:basedOn w:val="Punktafsnita"/>
    <w:qFormat/>
    <w:rsid w:val="00142474"/>
    <w:pPr>
      <w:numPr>
        <w:ilvl w:val="5"/>
      </w:numPr>
    </w:pPr>
  </w:style>
  <w:style w:type="paragraph" w:customStyle="1" w:styleId="Punktafsnittekst">
    <w:name w:val="Punktafsnit tekst"/>
    <w:basedOn w:val="Punktafsnit4"/>
    <w:qFormat/>
    <w:rsid w:val="00142474"/>
    <w:pPr>
      <w:numPr>
        <w:ilvl w:val="0"/>
        <w:numId w:val="0"/>
      </w:numPr>
      <w:tabs>
        <w:tab w:val="left" w:pos="1134"/>
      </w:tabs>
      <w:ind w:left="851"/>
      <w:outlineLvl w:val="6"/>
    </w:pPr>
  </w:style>
  <w:style w:type="paragraph" w:customStyle="1" w:styleId="NoOffice">
    <w:name w:val="NoOffice"/>
    <w:basedOn w:val="Normal"/>
    <w:qFormat/>
    <w:rsid w:val="00AC48CF"/>
    <w:pPr>
      <w:spacing w:line="20" w:lineRule="exact"/>
    </w:pPr>
    <w:rPr>
      <w:color w:val="FFFFFF" w:themeColor="background1"/>
      <w:sz w:val="2"/>
    </w:rPr>
  </w:style>
  <w:style w:type="paragraph" w:customStyle="1" w:styleId="PunktafsnitIndrykkettekst">
    <w:name w:val="Punktafsnit (Indrykket tekst)"/>
    <w:basedOn w:val="Normal"/>
    <w:qFormat/>
    <w:rsid w:val="00B54CBD"/>
    <w:pPr>
      <w:tabs>
        <w:tab w:val="left" w:pos="993"/>
      </w:tabs>
      <w:spacing w:after="300" w:line="276" w:lineRule="auto"/>
    </w:pPr>
  </w:style>
  <w:style w:type="paragraph" w:styleId="Overskrift">
    <w:name w:val="TOC Heading"/>
    <w:basedOn w:val="Overskrift1"/>
    <w:next w:val="Normal"/>
    <w:uiPriority w:val="39"/>
    <w:unhideWhenUsed/>
    <w:qFormat/>
    <w:rsid w:val="001D5E33"/>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aps w:val="0"/>
      <w:color w:val="000000"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A56886"/>
    <w:pPr>
      <w:spacing w:line="240" w:lineRule="auto"/>
    </w:pPr>
    <w:rPr>
      <w:b/>
      <w:sz w:val="20"/>
    </w:rPr>
  </w:style>
  <w:style w:type="character" w:customStyle="1" w:styleId="KommentaremneTegn">
    <w:name w:val="Kommentaremne Tegn"/>
    <w:basedOn w:val="KommentartekstTegn"/>
    <w:link w:val="Kommentaremne"/>
    <w:uiPriority w:val="99"/>
    <w:semiHidden/>
    <w:rsid w:val="00A56886"/>
    <w:rPr>
      <w:rFonts w:ascii="Times New Roman" w:eastAsia="Times New Roman" w:hAnsi="Times New Roman" w:cs="Times New Roman"/>
      <w:b/>
      <w:bCs/>
      <w:sz w:val="20"/>
      <w:szCs w:val="20"/>
      <w:lang w:val="da-DK" w:eastAsia="da-DK"/>
    </w:rPr>
  </w:style>
  <w:style w:type="numbering" w:styleId="111111">
    <w:name w:val="Outline List 2"/>
    <w:basedOn w:val="Ingenoversigt"/>
    <w:semiHidden/>
    <w:rsid w:val="00A56886"/>
    <w:pPr>
      <w:numPr>
        <w:numId w:val="17"/>
      </w:numPr>
    </w:pPr>
  </w:style>
  <w:style w:type="paragraph" w:styleId="Brdtekst">
    <w:name w:val="Body Text"/>
    <w:basedOn w:val="Normal"/>
    <w:link w:val="BrdtekstTegn"/>
    <w:qFormat/>
    <w:rsid w:val="00A56886"/>
    <w:pPr>
      <w:overflowPunct/>
      <w:autoSpaceDE/>
      <w:autoSpaceDN/>
      <w:adjustRightInd/>
      <w:spacing w:after="120" w:line="280" w:lineRule="atLeast"/>
      <w:jc w:val="left"/>
      <w:textAlignment w:val="auto"/>
    </w:pPr>
    <w:rPr>
      <w:bCs w:val="0"/>
      <w:szCs w:val="24"/>
    </w:rPr>
  </w:style>
  <w:style w:type="character" w:customStyle="1" w:styleId="BrdtekstTegn">
    <w:name w:val="Brødtekst Tegn"/>
    <w:basedOn w:val="Standardskrifttypeiafsnit"/>
    <w:link w:val="Brdtekst"/>
    <w:rsid w:val="00A56886"/>
    <w:rPr>
      <w:rFonts w:ascii="Garamond" w:eastAsia="Times New Roman" w:hAnsi="Garamond" w:cs="Times New Roman"/>
      <w:sz w:val="24"/>
      <w:szCs w:val="24"/>
      <w:lang w:val="da-DK" w:eastAsia="da-DK"/>
    </w:rPr>
  </w:style>
  <w:style w:type="paragraph" w:customStyle="1" w:styleId="Tabeltekst">
    <w:name w:val="Tabeltekst"/>
    <w:basedOn w:val="Normal"/>
    <w:qFormat/>
    <w:rsid w:val="00A56886"/>
    <w:pPr>
      <w:overflowPunct/>
      <w:autoSpaceDE/>
      <w:autoSpaceDN/>
      <w:adjustRightInd/>
      <w:spacing w:after="40" w:line="240" w:lineRule="auto"/>
      <w:jc w:val="left"/>
      <w:textAlignment w:val="auto"/>
    </w:pPr>
    <w:rPr>
      <w:rFonts w:ascii="Arial Narrow" w:hAnsi="Arial Narrow"/>
      <w:bCs w:val="0"/>
      <w:iCs/>
      <w:snapToGrid w:val="0"/>
      <w:sz w:val="18"/>
      <w:lang w:eastAsia="en-US"/>
    </w:rPr>
  </w:style>
  <w:style w:type="character" w:styleId="Hyperlink">
    <w:name w:val="Hyperlink"/>
    <w:basedOn w:val="Standardskrifttypeiafsnit"/>
    <w:uiPriority w:val="99"/>
    <w:unhideWhenUsed/>
    <w:rsid w:val="00A56886"/>
    <w:rPr>
      <w:color w:val="0563C1" w:themeColor="hyperlink"/>
      <w:u w:val="single"/>
    </w:rPr>
  </w:style>
  <w:style w:type="table" w:styleId="Gittertabel4-farve5">
    <w:name w:val="Grid Table 4 Accent 5"/>
    <w:basedOn w:val="Tabel-Normal"/>
    <w:uiPriority w:val="49"/>
    <w:rsid w:val="00A4250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7-farverig-farve3">
    <w:name w:val="List Table 7 Colorful Accent 3"/>
    <w:basedOn w:val="Tabel-Normal"/>
    <w:uiPriority w:val="52"/>
    <w:rsid w:val="00776DEC"/>
    <w:pPr>
      <w:spacing w:after="0"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7-farverig">
    <w:name w:val="Grid Table 7 Colorful"/>
    <w:basedOn w:val="Tabel-Normal"/>
    <w:uiPriority w:val="52"/>
    <w:rsid w:val="00776DE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tabel4-farve5">
    <w:name w:val="List Table 4 Accent 5"/>
    <w:basedOn w:val="Tabel-Normal"/>
    <w:uiPriority w:val="49"/>
    <w:rsid w:val="00781EDF"/>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tcBorders>
        <w:shd w:val="clear" w:color="auto" w:fill="B8AFA6" w:themeFill="accent5"/>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character" w:customStyle="1" w:styleId="ListeafsnitTegn">
    <w:name w:val="Listeafsnit Tegn"/>
    <w:basedOn w:val="Standardskrifttypeiafsnit"/>
    <w:link w:val="Listeafsnit"/>
    <w:uiPriority w:val="34"/>
    <w:rsid w:val="00437964"/>
    <w:rPr>
      <w:rFonts w:ascii="Times New Roman" w:eastAsia="Times New Roman" w:hAnsi="Times New Roman" w:cs="Times New Roman"/>
      <w:bCs/>
      <w:sz w:val="23"/>
      <w:szCs w:val="2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0735">
      <w:bodyDiv w:val="1"/>
      <w:marLeft w:val="0"/>
      <w:marRight w:val="0"/>
      <w:marTop w:val="0"/>
      <w:marBottom w:val="0"/>
      <w:divBdr>
        <w:top w:val="none" w:sz="0" w:space="0" w:color="auto"/>
        <w:left w:val="none" w:sz="0" w:space="0" w:color="auto"/>
        <w:bottom w:val="none" w:sz="0" w:space="0" w:color="auto"/>
        <w:right w:val="none" w:sz="0" w:space="0" w:color="auto"/>
      </w:divBdr>
    </w:div>
    <w:div w:id="1635520217">
      <w:bodyDiv w:val="1"/>
      <w:marLeft w:val="0"/>
      <w:marRight w:val="0"/>
      <w:marTop w:val="0"/>
      <w:marBottom w:val="0"/>
      <w:divBdr>
        <w:top w:val="none" w:sz="0" w:space="0" w:color="auto"/>
        <w:left w:val="none" w:sz="0" w:space="0" w:color="auto"/>
        <w:bottom w:val="none" w:sz="0" w:space="0" w:color="auto"/>
        <w:right w:val="none" w:sz="0" w:space="0" w:color="auto"/>
      </w:divBdr>
      <w:divsChild>
        <w:div w:id="1057046515">
          <w:marLeft w:val="28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018E9DE49475A915AD145917CD45E"/>
        <w:category>
          <w:name w:val="Generelt"/>
          <w:gallery w:val="placeholder"/>
        </w:category>
        <w:types>
          <w:type w:val="bbPlcHdr"/>
        </w:types>
        <w:behaviors>
          <w:behavior w:val="content"/>
        </w:behaviors>
        <w:guid w:val="{2C4347DC-5D51-4294-98DF-E8261BDBCF01}"/>
      </w:docPartPr>
      <w:docPartBody>
        <w:p w:rsidR="00886F4A" w:rsidRDefault="00886F4A">
          <w:pPr>
            <w:pStyle w:val="7BF018E9DE49475A915AD145917CD45E"/>
          </w:pPr>
          <w:r w:rsidRPr="00B11DB0">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4A"/>
    <w:rsid w:val="000D7171"/>
    <w:rsid w:val="000D7CC2"/>
    <w:rsid w:val="002C6A6B"/>
    <w:rsid w:val="00314AAE"/>
    <w:rsid w:val="00341A83"/>
    <w:rsid w:val="003A5F7C"/>
    <w:rsid w:val="003B68AB"/>
    <w:rsid w:val="00440992"/>
    <w:rsid w:val="0054050F"/>
    <w:rsid w:val="00654824"/>
    <w:rsid w:val="006F28BA"/>
    <w:rsid w:val="00777228"/>
    <w:rsid w:val="00800CDA"/>
    <w:rsid w:val="00860BCE"/>
    <w:rsid w:val="00886F4A"/>
    <w:rsid w:val="008F756D"/>
    <w:rsid w:val="009277A9"/>
    <w:rsid w:val="009806CF"/>
    <w:rsid w:val="009D68D9"/>
    <w:rsid w:val="00B33F30"/>
    <w:rsid w:val="00CA3C50"/>
    <w:rsid w:val="00CB399D"/>
    <w:rsid w:val="00E11406"/>
    <w:rsid w:val="00E245B1"/>
    <w:rsid w:val="00E33383"/>
    <w:rsid w:val="00FD7B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BF018E9DE49475A915AD145917CD45E">
    <w:name w:val="7BF018E9DE49475A915AD145917CD45E"/>
  </w:style>
  <w:style w:type="paragraph" w:customStyle="1" w:styleId="D25C5E3C3DC24E7FB6DF0918B94A74BB">
    <w:name w:val="D25C5E3C3DC24E7FB6DF0918B94A74BB"/>
  </w:style>
  <w:style w:type="paragraph" w:customStyle="1" w:styleId="B8783B09F2E74F0B946AFB9FD622DB34">
    <w:name w:val="B8783B09F2E74F0B946AFB9FD622DB34"/>
  </w:style>
  <w:style w:type="paragraph" w:customStyle="1" w:styleId="73AAAC86F54846249BAE04A6F13863DE">
    <w:name w:val="73AAAC86F54846249BAE04A6F13863DE"/>
  </w:style>
  <w:style w:type="paragraph" w:customStyle="1" w:styleId="DBE4E1CE168A4A22832B0D62C1DF0F52">
    <w:name w:val="DBE4E1CE168A4A22832B0D62C1DF0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dAltTexts ReferenceFields="Bookmarks"><![CDATA[{
  "MissingFieldAlternativeTextXmlEntries": {
    " REF _Ref512414612 \\r \\h ": {
      "ReferenceBookMarkName": " REF _Ref512414612 \\r \\h ",
      "AltText": "#AutoGenerate"
    },
    " REF _Ref506219361 \\r \\h ": {
      "ReferenceBookMarkName": " REF _Ref506219361 \\r \\h ",
      "AltText": "#AutoGenerate"
    },
    " REF _Ref505946988 \\r \\h ": {
      "ReferenceBookMarkName": " REF _Ref505946988 \\r \\h ",
      "AltText": "#AutoGenerate"
    },
    " REF _Ref507156334 \\r \\h ": {
      "ReferenceBookMarkName": " REF _Ref507156334 \\r \\h ",
      "AltText": "#AutoGenerate"
    },
    " REF _Ref506886318 \\r \\h ": {
      "ReferenceBookMarkName": " REF _Ref506886318 \\r \\h ",
      "AltText": "#AutoGenerate"
    },
    " REF _Ref506886470 \\r \\h ": {
      "ReferenceBookMarkName": " REF _Ref506886470 \\r \\h ",
      "AltText": "#AutoGenerate"
    },
    " REF _Ref505947706 \\r \\h ": {
      "ReferenceBookMarkName": " REF _Ref505947706 \\r \\h ",
      "AltText": "#AutoGenerate"
    },
    " REF _Ref505947709 \\r \\h ": {
      "ReferenceBookMarkName": " REF _Ref505947709 \\r \\h ",
      "AltText": "#AutoGenerate"
    },
    " REF _Ref505948692 \\r \\h ": {
      "ReferenceBookMarkName": " REF _Ref505948692 \\r \\h ",
      "AltText": "#AutoGenerate"
    },
    " REF _Ref511889468 \\r \\h ": {
      "ReferenceBookMarkName": " REF _Ref511889468 \\r \\h ",
      "AltText": "#AutoGenerate"
    },
    " REF _Ref506280400 \\r \\h  \\* MERGEFORMAT ": {
      "ReferenceBookMarkName": " REF _Ref506280400 \\r \\h  \\* MERGEFORMAT ",
      "AltText": "#AutoGenerate"
    },
    " REF _Ref506285488 \\r \\h ": {
      "ReferenceBookMarkName": " REF _Ref506285488 \\r \\h ",
      "AltText": "#AutoGenerate"
    },
    " REF _Ref506284597 \\r \\h ": {
      "ReferenceBookMarkName": " REF _Ref506284597 \\r \\h ",
      "AltText": "#AutoGenerate"
    }
  }
}]]></SdAlt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E0276-6A76-460E-989D-89B46CEB78AB}">
  <ds:schemaRefs/>
</ds:datastoreItem>
</file>

<file path=customXml/itemProps2.xml><?xml version="1.0" encoding="utf-8"?>
<ds:datastoreItem xmlns:ds="http://schemas.openxmlformats.org/officeDocument/2006/customXml" ds:itemID="{21457B0E-E217-40B4-8F6B-0E0B7FE4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Skrift.dotx</Template>
  <TotalTime>0</TotalTime>
  <Pages>11</Pages>
  <Words>2338</Words>
  <Characters>14871</Characters>
  <Application>Microsoft Office Word</Application>
  <DocSecurity>0</DocSecurity>
  <Lines>479</Lines>
  <Paragraphs>253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Kammeradvokaten</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20 vederlag K04</dc:title>
  <dc:creator>Marianne Wulff</dc:creator>
  <cp:lastModifiedBy>Britt Rosenstand Hansen</cp:lastModifiedBy>
  <cp:revision>2</cp:revision>
  <dcterms:created xsi:type="dcterms:W3CDTF">2025-04-11T06:33:00Z</dcterms:created>
  <dcterms:modified xsi:type="dcterms:W3CDTF">2025-04-11T06:33:00Z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